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58874">
      <w:pPr>
        <w:keepNext w:val="0"/>
        <w:keepLines w:val="0"/>
        <w:pageBreakBefore w:val="0"/>
        <w:widowControl w:val="0"/>
        <w:kinsoku/>
        <w:wordWrap/>
        <w:overflowPunct/>
        <w:topLinePunct w:val="0"/>
        <w:autoSpaceDE/>
        <w:autoSpaceDN/>
        <w:bidi w:val="0"/>
        <w:adjustRightInd w:val="0"/>
        <w:snapToGrid/>
        <w:spacing w:line="720" w:lineRule="exact"/>
        <w:jc w:val="center"/>
        <w:textAlignment w:val="auto"/>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广东省</w:t>
      </w:r>
      <w:r>
        <w:rPr>
          <w:rFonts w:hint="eastAsia" w:ascii="方正小标宋简体" w:hAnsi="Times New Roman" w:eastAsia="方正小标宋简体"/>
          <w:snapToGrid w:val="0"/>
          <w:kern w:val="0"/>
          <w:sz w:val="44"/>
          <w:szCs w:val="44"/>
        </w:rPr>
        <w:t>统计</w:t>
      </w:r>
      <w:r>
        <w:rPr>
          <w:rFonts w:hint="eastAsia" w:ascii="方正小标宋简体" w:eastAsia="方正小标宋简体"/>
          <w:snapToGrid w:val="0"/>
          <w:kern w:val="0"/>
          <w:sz w:val="44"/>
          <w:szCs w:val="44"/>
        </w:rPr>
        <w:t>行政处罚减免责清单</w:t>
      </w:r>
    </w:p>
    <w:p w14:paraId="6F388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rPr>
      </w:pPr>
    </w:p>
    <w:p w14:paraId="17920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表1：免</w:t>
      </w:r>
      <w:r>
        <w:rPr>
          <w:rFonts w:hint="eastAsia" w:ascii="黑体" w:hAnsi="黑体" w:eastAsia="黑体" w:cs="黑体"/>
          <w:sz w:val="32"/>
          <w:szCs w:val="32"/>
          <w:lang w:eastAsia="zh-CN"/>
        </w:rPr>
        <w:t>予</w:t>
      </w:r>
      <w:r>
        <w:rPr>
          <w:rFonts w:hint="eastAsia" w:ascii="黑体" w:hAnsi="黑体" w:eastAsia="黑体" w:cs="黑体"/>
          <w:sz w:val="32"/>
          <w:szCs w:val="32"/>
        </w:rPr>
        <w:t>处罚清单</w:t>
      </w:r>
    </w:p>
    <w:tbl>
      <w:tblPr>
        <w:tblStyle w:val="3"/>
        <w:tblW w:w="14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64"/>
        <w:gridCol w:w="2166"/>
        <w:gridCol w:w="6090"/>
        <w:gridCol w:w="1365"/>
        <w:gridCol w:w="1184"/>
        <w:gridCol w:w="999"/>
      </w:tblGrid>
      <w:tr w14:paraId="2FE2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4" w:type="dxa"/>
            <w:noWrap w:val="0"/>
            <w:vAlign w:val="center"/>
          </w:tcPr>
          <w:p w14:paraId="7A5C63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464" w:type="dxa"/>
            <w:noWrap w:val="0"/>
            <w:vAlign w:val="center"/>
          </w:tcPr>
          <w:p w14:paraId="6E91EA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事项名称</w:t>
            </w:r>
          </w:p>
        </w:tc>
        <w:tc>
          <w:tcPr>
            <w:tcW w:w="2166" w:type="dxa"/>
            <w:noWrap w:val="0"/>
            <w:vAlign w:val="center"/>
          </w:tcPr>
          <w:p w14:paraId="6F4DBF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设定依据</w:t>
            </w:r>
          </w:p>
        </w:tc>
        <w:tc>
          <w:tcPr>
            <w:tcW w:w="6090" w:type="dxa"/>
            <w:noWrap w:val="0"/>
            <w:vAlign w:val="center"/>
          </w:tcPr>
          <w:p w14:paraId="5F05BF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适用情形</w:t>
            </w:r>
          </w:p>
        </w:tc>
        <w:tc>
          <w:tcPr>
            <w:tcW w:w="1365" w:type="dxa"/>
            <w:noWrap w:val="0"/>
            <w:vAlign w:val="center"/>
          </w:tcPr>
          <w:p w14:paraId="210C6D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免处罚</w:t>
            </w:r>
          </w:p>
          <w:p w14:paraId="436374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依据</w:t>
            </w:r>
          </w:p>
        </w:tc>
        <w:tc>
          <w:tcPr>
            <w:tcW w:w="1184" w:type="dxa"/>
            <w:noWrap w:val="0"/>
            <w:vAlign w:val="center"/>
          </w:tcPr>
          <w:p w14:paraId="080A52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配套监管措施</w:t>
            </w:r>
          </w:p>
        </w:tc>
        <w:tc>
          <w:tcPr>
            <w:tcW w:w="999" w:type="dxa"/>
            <w:noWrap w:val="0"/>
            <w:vAlign w:val="center"/>
          </w:tcPr>
          <w:p w14:paraId="54CAC9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备注</w:t>
            </w:r>
          </w:p>
        </w:tc>
      </w:tr>
      <w:tr w14:paraId="4A05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14" w:type="dxa"/>
            <w:vMerge w:val="restart"/>
            <w:noWrap w:val="0"/>
            <w:vAlign w:val="center"/>
          </w:tcPr>
          <w:p w14:paraId="5B2A9E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464" w:type="dxa"/>
            <w:vMerge w:val="restart"/>
            <w:noWrap w:val="0"/>
            <w:vAlign w:val="center"/>
          </w:tcPr>
          <w:p w14:paraId="2A0385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对统计调查对象提供不真实或者不完整的统计资料行为的行政处罚</w:t>
            </w:r>
          </w:p>
        </w:tc>
        <w:tc>
          <w:tcPr>
            <w:tcW w:w="2166" w:type="dxa"/>
            <w:vMerge w:val="restart"/>
            <w:noWrap w:val="0"/>
            <w:vAlign w:val="center"/>
          </w:tcPr>
          <w:p w14:paraId="46DC8CD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0627D2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p w14:paraId="1C3062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53B2D8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提供不真实统计资料，以实物单位计量的统计指标应报数不为0，差错率20%以下</w:t>
            </w:r>
            <w:r>
              <w:rPr>
                <w:rFonts w:hint="eastAsia" w:ascii="宋体" w:hAnsi="宋体" w:eastAsia="宋体" w:cs="宋体"/>
                <w:sz w:val="21"/>
                <w:szCs w:val="21"/>
                <w:lang w:eastAsia="zh-CN"/>
              </w:rPr>
              <w:t>，</w:t>
            </w:r>
            <w:r>
              <w:rPr>
                <w:rFonts w:hint="eastAsia" w:ascii="宋体" w:hAnsi="宋体" w:eastAsia="宋体" w:cs="宋体"/>
                <w:sz w:val="21"/>
                <w:szCs w:val="21"/>
                <w:lang w:bidi="ar"/>
              </w:rPr>
              <w:t>初次违法且危害后果轻微并及时改正的；</w:t>
            </w:r>
            <w:r>
              <w:rPr>
                <w:rFonts w:hint="eastAsia" w:ascii="宋体" w:hAnsi="宋体" w:eastAsia="宋体" w:cs="宋体"/>
                <w:sz w:val="21"/>
                <w:szCs w:val="21"/>
                <w:lang w:eastAsia="zh-CN" w:bidi="ar"/>
              </w:rPr>
              <w:t>前述情况</w:t>
            </w:r>
            <w:r>
              <w:rPr>
                <w:rFonts w:hint="eastAsia" w:ascii="宋体" w:hAnsi="宋体" w:eastAsia="宋体" w:cs="宋体"/>
                <w:sz w:val="21"/>
                <w:szCs w:val="21"/>
                <w:lang w:bidi="ar"/>
              </w:rPr>
              <w:t>能将实物单位计量转化为货币量单位计量统计指标的，则参照货币单位计量的统计指标认定</w:t>
            </w:r>
          </w:p>
        </w:tc>
        <w:tc>
          <w:tcPr>
            <w:tcW w:w="1365" w:type="dxa"/>
            <w:vMerge w:val="restart"/>
            <w:noWrap w:val="0"/>
            <w:vAlign w:val="center"/>
          </w:tcPr>
          <w:p w14:paraId="147F3D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52C29BAD">
            <w:pPr>
              <w:pStyle w:val="2"/>
              <w:keepNext w:val="0"/>
              <w:keepLines w:val="0"/>
              <w:pageBreakBefore w:val="0"/>
              <w:widowControl w:val="0"/>
              <w:kinsoku/>
              <w:wordWrap/>
              <w:overflowPunct/>
              <w:topLinePunct w:val="0"/>
              <w:autoSpaceDE/>
              <w:autoSpaceDN/>
              <w:bidi w:val="0"/>
              <w:adjustRightInd/>
              <w:snapToGrid/>
              <w:spacing w:line="300" w:lineRule="exact"/>
              <w:ind w:firstLine="640"/>
              <w:textAlignment w:val="auto"/>
              <w:rPr>
                <w:rFonts w:hint="eastAsia" w:ascii="宋体" w:hAnsi="宋体" w:eastAsia="宋体" w:cs="宋体"/>
                <w:sz w:val="21"/>
                <w:szCs w:val="21"/>
              </w:rPr>
            </w:pPr>
          </w:p>
        </w:tc>
        <w:tc>
          <w:tcPr>
            <w:tcW w:w="1184" w:type="dxa"/>
            <w:vMerge w:val="restart"/>
            <w:noWrap w:val="0"/>
            <w:vAlign w:val="center"/>
          </w:tcPr>
          <w:p w14:paraId="577A2D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vMerge w:val="restart"/>
            <w:noWrap w:val="0"/>
            <w:vAlign w:val="center"/>
          </w:tcPr>
          <w:p w14:paraId="25AAD87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64C3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14" w:type="dxa"/>
            <w:vMerge w:val="continue"/>
            <w:noWrap w:val="0"/>
            <w:vAlign w:val="center"/>
          </w:tcPr>
          <w:p w14:paraId="5EB9755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2D32F49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4E8DEE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5E7BCF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提供不真实统计资料，以货币单位计量的统计指标应报数不为0，差错率1</w:t>
            </w:r>
            <w:r>
              <w:rPr>
                <w:rFonts w:hint="eastAsia" w:ascii="宋体" w:hAnsi="宋体" w:eastAsia="宋体" w:cs="宋体"/>
                <w:sz w:val="21"/>
                <w:szCs w:val="21"/>
                <w:lang w:bidi="ar"/>
              </w:rPr>
              <w:t>5%以下，且违法数额1亿元以下，初次违法且危害后果轻微并及时改正的</w:t>
            </w:r>
            <w:r>
              <w:rPr>
                <w:rFonts w:hint="eastAsia" w:ascii="宋体" w:hAnsi="宋体" w:eastAsia="宋体" w:cs="宋体"/>
                <w:sz w:val="21"/>
                <w:szCs w:val="21"/>
                <w:lang w:eastAsia="zh-CN" w:bidi="ar"/>
              </w:rPr>
              <w:t>。</w:t>
            </w:r>
          </w:p>
        </w:tc>
        <w:tc>
          <w:tcPr>
            <w:tcW w:w="1365" w:type="dxa"/>
            <w:vMerge w:val="continue"/>
            <w:noWrap w:val="0"/>
            <w:vAlign w:val="center"/>
          </w:tcPr>
          <w:p w14:paraId="49D1A18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61E4D6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5F911F7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666A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4" w:type="dxa"/>
            <w:vMerge w:val="continue"/>
            <w:noWrap w:val="0"/>
            <w:vAlign w:val="center"/>
          </w:tcPr>
          <w:p w14:paraId="27721F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495720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1085D2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3C2FD7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提供不真实统计资料，以货币单位计量的统计指标应报数不为0，差错率在15%</w:t>
            </w:r>
            <w:r>
              <w:rPr>
                <w:rFonts w:hint="eastAsia" w:ascii="宋体" w:hAnsi="宋体" w:eastAsia="宋体" w:cs="宋体"/>
                <w:sz w:val="21"/>
                <w:szCs w:val="21"/>
                <w:lang w:eastAsia="zh-CN"/>
              </w:rPr>
              <w:t>以上</w:t>
            </w:r>
            <w:r>
              <w:rPr>
                <w:rFonts w:hint="eastAsia" w:ascii="宋体" w:hAnsi="宋体" w:eastAsia="宋体" w:cs="宋体"/>
                <w:sz w:val="21"/>
                <w:szCs w:val="21"/>
              </w:rPr>
              <w:t>20%</w:t>
            </w:r>
            <w:r>
              <w:rPr>
                <w:rFonts w:hint="eastAsia" w:ascii="宋体" w:hAnsi="宋体" w:eastAsia="宋体" w:cs="宋体"/>
                <w:sz w:val="21"/>
                <w:szCs w:val="21"/>
                <w:lang w:eastAsia="zh-CN"/>
              </w:rPr>
              <w:t>以下</w:t>
            </w:r>
            <w:r>
              <w:rPr>
                <w:rFonts w:hint="eastAsia" w:ascii="宋体" w:hAnsi="宋体" w:eastAsia="宋体" w:cs="宋体"/>
                <w:sz w:val="21"/>
                <w:szCs w:val="21"/>
              </w:rPr>
              <w:t>，且违法数额2000万元以下，</w:t>
            </w:r>
            <w:r>
              <w:rPr>
                <w:rFonts w:hint="eastAsia" w:ascii="宋体" w:hAnsi="宋体" w:eastAsia="宋体" w:cs="宋体"/>
                <w:sz w:val="21"/>
                <w:szCs w:val="21"/>
                <w:lang w:bidi="ar"/>
              </w:rPr>
              <w:t>初次违法且危害后果轻微并及时改正的</w:t>
            </w:r>
            <w:r>
              <w:rPr>
                <w:rFonts w:hint="eastAsia" w:ascii="宋体" w:hAnsi="宋体" w:eastAsia="宋体" w:cs="宋体"/>
                <w:sz w:val="21"/>
                <w:szCs w:val="21"/>
                <w:lang w:eastAsia="zh-CN" w:bidi="ar"/>
              </w:rPr>
              <w:t>。</w:t>
            </w:r>
          </w:p>
        </w:tc>
        <w:tc>
          <w:tcPr>
            <w:tcW w:w="1365" w:type="dxa"/>
            <w:vMerge w:val="continue"/>
            <w:noWrap w:val="0"/>
            <w:vAlign w:val="center"/>
          </w:tcPr>
          <w:p w14:paraId="4582F8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75C08A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037C73C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1EB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14" w:type="dxa"/>
            <w:vMerge w:val="continue"/>
            <w:noWrap w:val="0"/>
            <w:vAlign w:val="center"/>
          </w:tcPr>
          <w:p w14:paraId="153D109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71ABBD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D74DDA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24D355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提供不真实统计资料，以货币单位计量的统计指标应报数不为0，在20%</w:t>
            </w:r>
            <w:r>
              <w:rPr>
                <w:rFonts w:hint="eastAsia" w:ascii="宋体" w:hAnsi="宋体" w:eastAsia="宋体" w:cs="宋体"/>
                <w:sz w:val="21"/>
                <w:szCs w:val="21"/>
                <w:lang w:eastAsia="zh-CN"/>
              </w:rPr>
              <w:t>以上</w:t>
            </w:r>
            <w:r>
              <w:rPr>
                <w:rFonts w:hint="eastAsia" w:ascii="宋体" w:hAnsi="宋体" w:eastAsia="宋体" w:cs="宋体"/>
                <w:sz w:val="21"/>
                <w:szCs w:val="21"/>
              </w:rPr>
              <w:t>30%</w:t>
            </w:r>
            <w:r>
              <w:rPr>
                <w:rFonts w:hint="eastAsia" w:ascii="宋体" w:hAnsi="宋体" w:eastAsia="宋体" w:cs="宋体"/>
                <w:sz w:val="21"/>
                <w:szCs w:val="21"/>
                <w:lang w:eastAsia="zh-CN"/>
              </w:rPr>
              <w:t>以下</w:t>
            </w:r>
            <w:r>
              <w:rPr>
                <w:rFonts w:hint="eastAsia" w:ascii="宋体" w:hAnsi="宋体" w:eastAsia="宋体" w:cs="宋体"/>
                <w:sz w:val="21"/>
                <w:szCs w:val="21"/>
              </w:rPr>
              <w:t>，且违法数额1000万元以下，</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5A5BE7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676454E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584D5F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1926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4" w:type="dxa"/>
            <w:vMerge w:val="continue"/>
            <w:noWrap w:val="0"/>
            <w:vAlign w:val="center"/>
          </w:tcPr>
          <w:p w14:paraId="241E3FD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4242AE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E65B5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340E5FE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提供不真实统计资料，除住宿餐饮业、劳动工资、企业研发外，以货币单位计量的统计指标违法数额不满500万元，</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153EDC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43190D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4FFDD8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F9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14" w:type="dxa"/>
            <w:vMerge w:val="continue"/>
            <w:noWrap w:val="0"/>
            <w:vAlign w:val="center"/>
          </w:tcPr>
          <w:p w14:paraId="16C021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1A23B0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31F7DC2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24A6DB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提供不真实统计资料，以货币单位计量的住宿餐饮业、劳动工资、企业研发等统计指标违法数额不满200万元，</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4FC19D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7D53D1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7E89534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34C6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4" w:type="dxa"/>
            <w:vMerge w:val="continue"/>
            <w:noWrap w:val="0"/>
            <w:vAlign w:val="center"/>
          </w:tcPr>
          <w:p w14:paraId="0CAD9A7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42CA4B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6B032C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406BD6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新达到规模</w:t>
            </w:r>
            <w:r>
              <w:rPr>
                <w:rFonts w:hint="eastAsia" w:ascii="宋体" w:hAnsi="宋体" w:eastAsia="宋体" w:cs="宋体"/>
                <w:sz w:val="21"/>
                <w:szCs w:val="21"/>
                <w:lang w:eastAsia="zh-CN"/>
              </w:rPr>
              <w:t>、</w:t>
            </w:r>
            <w:r>
              <w:rPr>
                <w:rFonts w:hint="eastAsia" w:ascii="宋体" w:hAnsi="宋体" w:eastAsia="宋体" w:cs="宋体"/>
                <w:sz w:val="21"/>
                <w:szCs w:val="21"/>
              </w:rPr>
              <w:t>限额</w:t>
            </w:r>
            <w:r>
              <w:rPr>
                <w:rFonts w:hint="eastAsia" w:ascii="宋体" w:hAnsi="宋体" w:eastAsia="宋体" w:cs="宋体"/>
                <w:sz w:val="21"/>
                <w:szCs w:val="21"/>
                <w:lang w:eastAsia="zh-CN"/>
              </w:rPr>
              <w:t>或资质</w:t>
            </w:r>
            <w:r>
              <w:rPr>
                <w:rFonts w:hint="eastAsia" w:ascii="宋体" w:hAnsi="宋体" w:eastAsia="宋体" w:cs="宋体"/>
                <w:sz w:val="21"/>
                <w:szCs w:val="21"/>
              </w:rPr>
              <w:t>统计标准的统计调查对象在入库2年内提供不真实统计资料，统计指标应报数不为0，差错率30%以下，初次违法且危害后果轻微并及时改正的。</w:t>
            </w:r>
          </w:p>
        </w:tc>
        <w:tc>
          <w:tcPr>
            <w:tcW w:w="1365" w:type="dxa"/>
            <w:vMerge w:val="continue"/>
            <w:noWrap w:val="0"/>
            <w:vAlign w:val="center"/>
          </w:tcPr>
          <w:p w14:paraId="369D6EB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4DE890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1B1580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1D95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4" w:type="dxa"/>
            <w:vMerge w:val="continue"/>
            <w:noWrap w:val="0"/>
            <w:vAlign w:val="center"/>
          </w:tcPr>
          <w:p w14:paraId="7EF06F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464" w:type="dxa"/>
            <w:vMerge w:val="continue"/>
            <w:noWrap w:val="0"/>
            <w:vAlign w:val="center"/>
          </w:tcPr>
          <w:p w14:paraId="3FDA04C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166" w:type="dxa"/>
            <w:vMerge w:val="continue"/>
            <w:noWrap w:val="0"/>
            <w:vAlign w:val="center"/>
          </w:tcPr>
          <w:p w14:paraId="55BB88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6090" w:type="dxa"/>
            <w:noWrap w:val="0"/>
            <w:vAlign w:val="center"/>
          </w:tcPr>
          <w:p w14:paraId="215140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提供不完整统计资料，应填而未填指标数占应填指标数10%以下的，</w:t>
            </w:r>
            <w:r>
              <w:rPr>
                <w:rFonts w:hint="eastAsia" w:ascii="宋体" w:hAnsi="宋体" w:eastAsia="宋体" w:cs="宋体"/>
                <w:sz w:val="21"/>
                <w:szCs w:val="21"/>
                <w:lang w:bidi="ar"/>
              </w:rPr>
              <w:t>初次违法且危害后果轻微并及时改正的。</w:t>
            </w:r>
          </w:p>
        </w:tc>
        <w:tc>
          <w:tcPr>
            <w:tcW w:w="1365" w:type="dxa"/>
            <w:vMerge w:val="continue"/>
            <w:noWrap w:val="0"/>
            <w:vAlign w:val="center"/>
          </w:tcPr>
          <w:p w14:paraId="70B550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vMerge w:val="continue"/>
            <w:noWrap w:val="0"/>
            <w:vAlign w:val="center"/>
          </w:tcPr>
          <w:p w14:paraId="5EAE4B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p>
        </w:tc>
        <w:tc>
          <w:tcPr>
            <w:tcW w:w="999" w:type="dxa"/>
            <w:vMerge w:val="continue"/>
            <w:noWrap w:val="0"/>
            <w:vAlign w:val="center"/>
          </w:tcPr>
          <w:p w14:paraId="05BA45B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560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814" w:type="dxa"/>
            <w:noWrap w:val="0"/>
            <w:vAlign w:val="center"/>
          </w:tcPr>
          <w:p w14:paraId="482883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464" w:type="dxa"/>
            <w:noWrap w:val="0"/>
            <w:vAlign w:val="center"/>
          </w:tcPr>
          <w:p w14:paraId="111496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对统计调查对象提供不真实或者不完整的统计资料行为的行政处罚</w:t>
            </w:r>
          </w:p>
        </w:tc>
        <w:tc>
          <w:tcPr>
            <w:tcW w:w="2166" w:type="dxa"/>
            <w:noWrap w:val="0"/>
            <w:vAlign w:val="center"/>
          </w:tcPr>
          <w:p w14:paraId="740A821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02E2DE4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tc>
        <w:tc>
          <w:tcPr>
            <w:tcW w:w="6090" w:type="dxa"/>
            <w:noWrap w:val="0"/>
            <w:vAlign w:val="center"/>
          </w:tcPr>
          <w:p w14:paraId="4C4590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bidi="ar"/>
              </w:rPr>
            </w:pPr>
            <w:r>
              <w:rPr>
                <w:rFonts w:hint="eastAsia" w:ascii="宋体" w:hAnsi="宋体" w:eastAsia="宋体" w:cs="宋体"/>
                <w:sz w:val="21"/>
                <w:szCs w:val="21"/>
              </w:rPr>
              <w:t>统计调查对象有证据足以证明没有主观过错而提供不真实或者不完整统计资料的</w:t>
            </w:r>
            <w:r>
              <w:rPr>
                <w:rFonts w:hint="eastAsia" w:ascii="宋体" w:hAnsi="宋体" w:eastAsia="宋体" w:cs="宋体"/>
                <w:sz w:val="21"/>
                <w:szCs w:val="21"/>
                <w:lang w:eastAsia="zh-CN"/>
              </w:rPr>
              <w:t>。</w:t>
            </w:r>
          </w:p>
        </w:tc>
        <w:tc>
          <w:tcPr>
            <w:tcW w:w="1365" w:type="dxa"/>
            <w:noWrap w:val="0"/>
            <w:vAlign w:val="center"/>
          </w:tcPr>
          <w:p w14:paraId="07918B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03D45A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20D249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7BD28A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r>
      <w:tr w14:paraId="0302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14" w:type="dxa"/>
            <w:noWrap w:val="0"/>
            <w:vAlign w:val="center"/>
          </w:tcPr>
          <w:p w14:paraId="4269D9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464" w:type="dxa"/>
            <w:noWrap w:val="0"/>
            <w:vAlign w:val="center"/>
          </w:tcPr>
          <w:p w14:paraId="5149A7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2166" w:type="dxa"/>
            <w:noWrap w:val="0"/>
            <w:vAlign w:val="center"/>
          </w:tcPr>
          <w:p w14:paraId="16BBEE2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116EB7B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6090" w:type="dxa"/>
            <w:noWrap w:val="0"/>
            <w:vAlign w:val="center"/>
          </w:tcPr>
          <w:p w14:paraId="502F0E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bidi="ar"/>
              </w:rPr>
              <w:t>统计调查对象符合下列条件的，不予处罚：一年内迟报统计资料1次，但能及时改正，未造成危害后果的；一年内迟报统计资料2次，初次违法，且危害后果轻微，并能及时改正的。</w:t>
            </w:r>
          </w:p>
        </w:tc>
        <w:tc>
          <w:tcPr>
            <w:tcW w:w="1365" w:type="dxa"/>
            <w:noWrap w:val="0"/>
            <w:vAlign w:val="center"/>
          </w:tcPr>
          <w:p w14:paraId="4C676C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192A13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1399DCD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34B36B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FBB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14" w:type="dxa"/>
            <w:noWrap w:val="0"/>
            <w:vAlign w:val="center"/>
          </w:tcPr>
          <w:p w14:paraId="3E5724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464" w:type="dxa"/>
            <w:noWrap w:val="0"/>
            <w:vAlign w:val="center"/>
          </w:tcPr>
          <w:p w14:paraId="25AACF8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2166" w:type="dxa"/>
            <w:noWrap w:val="0"/>
            <w:vAlign w:val="center"/>
          </w:tcPr>
          <w:p w14:paraId="1D9524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461C9C8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6090" w:type="dxa"/>
            <w:noWrap w:val="0"/>
            <w:vAlign w:val="center"/>
          </w:tcPr>
          <w:p w14:paraId="2FE6B8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统计调查对象有证据足以证明没有主观过错而迟报统计资料的</w:t>
            </w:r>
            <w:r>
              <w:rPr>
                <w:rFonts w:hint="eastAsia" w:ascii="宋体" w:hAnsi="宋体" w:eastAsia="宋体" w:cs="宋体"/>
                <w:sz w:val="21"/>
                <w:szCs w:val="21"/>
                <w:lang w:eastAsia="zh-CN"/>
              </w:rPr>
              <w:t>。</w:t>
            </w:r>
          </w:p>
        </w:tc>
        <w:tc>
          <w:tcPr>
            <w:tcW w:w="1365" w:type="dxa"/>
            <w:noWrap w:val="0"/>
            <w:vAlign w:val="center"/>
          </w:tcPr>
          <w:p w14:paraId="1A25AD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1EB4A7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7AACC7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40682A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364B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14" w:type="dxa"/>
            <w:noWrap w:val="0"/>
            <w:vAlign w:val="center"/>
          </w:tcPr>
          <w:p w14:paraId="2DA8E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464" w:type="dxa"/>
            <w:noWrap w:val="0"/>
            <w:vAlign w:val="center"/>
          </w:tcPr>
          <w:p w14:paraId="1981F8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2166" w:type="dxa"/>
            <w:noWrap w:val="0"/>
            <w:vAlign w:val="center"/>
          </w:tcPr>
          <w:p w14:paraId="3980CF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3E08B2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6090" w:type="dxa"/>
            <w:noWrap w:val="0"/>
            <w:vAlign w:val="center"/>
          </w:tcPr>
          <w:p w14:paraId="6A91DD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未按照国家有关规定设置原始记录、统计台账，能及时改正，且能提供统计报表所需的原始记录和凭证、会计资料及其他有关证明和材料的，未造成危害后果的</w:t>
            </w:r>
            <w:r>
              <w:rPr>
                <w:rFonts w:hint="eastAsia" w:ascii="宋体" w:hAnsi="宋体" w:eastAsia="宋体" w:cs="宋体"/>
                <w:sz w:val="21"/>
                <w:szCs w:val="21"/>
                <w:lang w:eastAsia="zh-CN"/>
              </w:rPr>
              <w:t>。</w:t>
            </w:r>
          </w:p>
        </w:tc>
        <w:tc>
          <w:tcPr>
            <w:tcW w:w="1365" w:type="dxa"/>
            <w:noWrap w:val="0"/>
            <w:vAlign w:val="center"/>
          </w:tcPr>
          <w:p w14:paraId="6C8AAA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《行政处罚法》第三十三条第一款</w:t>
            </w:r>
          </w:p>
          <w:p w14:paraId="541A8C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35FE82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355CB74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27BB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814" w:type="dxa"/>
            <w:noWrap w:val="0"/>
            <w:vAlign w:val="center"/>
          </w:tcPr>
          <w:p w14:paraId="097EE2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464" w:type="dxa"/>
            <w:noWrap w:val="0"/>
            <w:vAlign w:val="center"/>
          </w:tcPr>
          <w:p w14:paraId="702195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2166" w:type="dxa"/>
            <w:noWrap w:val="0"/>
            <w:vAlign w:val="center"/>
          </w:tcPr>
          <w:p w14:paraId="2A8B35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68A56C9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6090" w:type="dxa"/>
            <w:noWrap w:val="0"/>
            <w:vAlign w:val="center"/>
          </w:tcPr>
          <w:p w14:paraId="3D08C5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统计调查对象有证据足以证明没有主观过错而未按照国家有关规定设置原始记录、统计台账的</w:t>
            </w:r>
            <w:r>
              <w:rPr>
                <w:rFonts w:hint="eastAsia" w:ascii="宋体" w:hAnsi="宋体" w:eastAsia="宋体" w:cs="宋体"/>
                <w:sz w:val="21"/>
                <w:szCs w:val="21"/>
                <w:lang w:eastAsia="zh-CN"/>
              </w:rPr>
              <w:t>。</w:t>
            </w:r>
          </w:p>
        </w:tc>
        <w:tc>
          <w:tcPr>
            <w:tcW w:w="1365" w:type="dxa"/>
            <w:noWrap w:val="0"/>
            <w:vAlign w:val="center"/>
          </w:tcPr>
          <w:p w14:paraId="2EC127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《行政处罚法》第三十三条第二款</w:t>
            </w:r>
          </w:p>
          <w:p w14:paraId="62084F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184" w:type="dxa"/>
            <w:noWrap w:val="0"/>
            <w:vAlign w:val="center"/>
          </w:tcPr>
          <w:p w14:paraId="5EC362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999" w:type="dxa"/>
            <w:noWrap w:val="0"/>
            <w:vAlign w:val="center"/>
          </w:tcPr>
          <w:p w14:paraId="57BD87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bl>
    <w:p w14:paraId="06A1A876">
      <w:pPr>
        <w:spacing w:line="300" w:lineRule="exact"/>
        <w:rPr>
          <w:rFonts w:hint="eastAsia" w:ascii="宋体" w:hAnsi="宋体" w:eastAsia="宋体" w:cs="宋体"/>
          <w:sz w:val="21"/>
          <w:szCs w:val="21"/>
        </w:rPr>
      </w:pPr>
    </w:p>
    <w:p w14:paraId="02D24A11">
      <w:pPr>
        <w:spacing w:line="240" w:lineRule="exact"/>
        <w:rPr>
          <w:rFonts w:hint="eastAsia" w:ascii="宋体" w:hAnsi="宋体" w:eastAsia="宋体" w:cs="宋体"/>
          <w:sz w:val="21"/>
          <w:szCs w:val="21"/>
        </w:rPr>
      </w:pPr>
      <w:r>
        <w:rPr>
          <w:rFonts w:hint="eastAsia" w:ascii="宋体" w:hAnsi="宋体" w:eastAsia="宋体" w:cs="宋体"/>
          <w:sz w:val="21"/>
          <w:szCs w:val="21"/>
        </w:rPr>
        <w:t>备注：1.免处罚清单中的一套表调查单位，指的是一套表统计调查制度统计范围内的调查单位。</w:t>
      </w:r>
    </w:p>
    <w:p w14:paraId="3457BF88">
      <w:pPr>
        <w:spacing w:line="240" w:lineRule="exact"/>
      </w:pPr>
      <w:r>
        <w:rPr>
          <w:rFonts w:hint="eastAsia"/>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rPr>
        <w:t>.经济普查、农业普查</w:t>
      </w:r>
      <w:r>
        <w:rPr>
          <w:rFonts w:hint="eastAsia" w:ascii="宋体" w:hAnsi="宋体" w:eastAsia="宋体" w:cs="宋体"/>
          <w:sz w:val="21"/>
          <w:szCs w:val="21"/>
          <w:lang w:eastAsia="zh-CN"/>
        </w:rPr>
        <w:t>中统计违法</w:t>
      </w:r>
      <w:r>
        <w:rPr>
          <w:rFonts w:hint="eastAsia" w:ascii="宋体" w:hAnsi="宋体" w:eastAsia="宋体" w:cs="宋体"/>
          <w:sz w:val="21"/>
          <w:szCs w:val="21"/>
        </w:rPr>
        <w:t>免</w:t>
      </w:r>
      <w:r>
        <w:rPr>
          <w:rFonts w:hint="eastAsia" w:ascii="宋体" w:hAnsi="宋体" w:eastAsia="宋体" w:cs="宋体"/>
          <w:sz w:val="21"/>
          <w:szCs w:val="21"/>
          <w:lang w:eastAsia="zh-CN"/>
        </w:rPr>
        <w:t>予</w:t>
      </w:r>
      <w:r>
        <w:rPr>
          <w:rFonts w:hint="eastAsia" w:ascii="宋体" w:hAnsi="宋体" w:eastAsia="宋体" w:cs="宋体"/>
          <w:sz w:val="21"/>
          <w:szCs w:val="21"/>
        </w:rPr>
        <w:t>处罚适用情形参照以上情形。</w:t>
      </w:r>
    </w:p>
    <w:p w14:paraId="67796BDF">
      <w:pPr>
        <w:spacing w:line="720" w:lineRule="exact"/>
        <w:jc w:val="center"/>
        <w:rPr>
          <w:rFonts w:hint="eastAsia" w:ascii="方正小标宋简体" w:hAnsi="方正小标宋简体" w:eastAsia="方正小标宋简体" w:cs="方正小标宋简体"/>
          <w:sz w:val="44"/>
          <w:szCs w:val="44"/>
        </w:rPr>
      </w:pPr>
    </w:p>
    <w:p w14:paraId="579935A7">
      <w:pPr>
        <w:pStyle w:val="2"/>
        <w:rPr>
          <w:rFonts w:hint="eastAsia"/>
        </w:rPr>
      </w:pPr>
    </w:p>
    <w:p w14:paraId="30E87058">
      <w:pPr>
        <w:spacing w:line="720" w:lineRule="exact"/>
        <w:jc w:val="center"/>
        <w:rPr>
          <w:rFonts w:hint="eastAsia" w:ascii="方正小标宋简体" w:hAnsi="方正小标宋简体" w:eastAsia="方正小标宋简体" w:cs="方正小标宋简体"/>
          <w:sz w:val="44"/>
          <w:szCs w:val="44"/>
        </w:rPr>
      </w:pPr>
    </w:p>
    <w:p w14:paraId="64C90661">
      <w:pPr>
        <w:spacing w:line="720" w:lineRule="exact"/>
        <w:jc w:val="center"/>
        <w:rPr>
          <w:rFonts w:hint="eastAsia" w:ascii="方正小标宋简体" w:hAnsi="方正小标宋简体" w:eastAsia="方正小标宋简体" w:cs="方正小标宋简体"/>
          <w:sz w:val="44"/>
          <w:szCs w:val="44"/>
        </w:rPr>
      </w:pPr>
    </w:p>
    <w:p w14:paraId="7DF8D03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表2：减轻处罚清单</w:t>
      </w:r>
    </w:p>
    <w:tbl>
      <w:tblPr>
        <w:tblStyle w:val="3"/>
        <w:tblW w:w="13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57"/>
        <w:gridCol w:w="1305"/>
        <w:gridCol w:w="2415"/>
        <w:gridCol w:w="2655"/>
        <w:gridCol w:w="2983"/>
        <w:gridCol w:w="1240"/>
        <w:gridCol w:w="847"/>
      </w:tblGrid>
      <w:tr w14:paraId="2921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30" w:type="dxa"/>
            <w:noWrap w:val="0"/>
            <w:vAlign w:val="center"/>
          </w:tcPr>
          <w:p w14:paraId="3BE262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1057" w:type="dxa"/>
            <w:noWrap w:val="0"/>
            <w:vAlign w:val="center"/>
          </w:tcPr>
          <w:p w14:paraId="2654E2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事项名称</w:t>
            </w:r>
          </w:p>
        </w:tc>
        <w:tc>
          <w:tcPr>
            <w:tcW w:w="1305" w:type="dxa"/>
            <w:noWrap w:val="0"/>
            <w:vAlign w:val="center"/>
          </w:tcPr>
          <w:p w14:paraId="2EE6C6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设定</w:t>
            </w:r>
          </w:p>
          <w:p w14:paraId="59303D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依据</w:t>
            </w:r>
          </w:p>
        </w:tc>
        <w:tc>
          <w:tcPr>
            <w:tcW w:w="2415" w:type="dxa"/>
            <w:noWrap w:val="0"/>
            <w:vAlign w:val="center"/>
          </w:tcPr>
          <w:p w14:paraId="2F15C1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适用情形</w:t>
            </w:r>
          </w:p>
        </w:tc>
        <w:tc>
          <w:tcPr>
            <w:tcW w:w="2655" w:type="dxa"/>
            <w:noWrap w:val="0"/>
            <w:vAlign w:val="center"/>
          </w:tcPr>
          <w:p w14:paraId="1F007D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减轻处罚依据</w:t>
            </w:r>
          </w:p>
        </w:tc>
        <w:tc>
          <w:tcPr>
            <w:tcW w:w="2983" w:type="dxa"/>
            <w:noWrap w:val="0"/>
            <w:vAlign w:val="center"/>
          </w:tcPr>
          <w:p w14:paraId="2E9D6B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裁量幅度</w:t>
            </w:r>
          </w:p>
        </w:tc>
        <w:tc>
          <w:tcPr>
            <w:tcW w:w="1240" w:type="dxa"/>
            <w:noWrap w:val="0"/>
            <w:vAlign w:val="center"/>
          </w:tcPr>
          <w:p w14:paraId="121C95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配套监管措施</w:t>
            </w:r>
          </w:p>
        </w:tc>
        <w:tc>
          <w:tcPr>
            <w:tcW w:w="847" w:type="dxa"/>
            <w:noWrap w:val="0"/>
            <w:vAlign w:val="center"/>
          </w:tcPr>
          <w:p w14:paraId="3A443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备注</w:t>
            </w:r>
          </w:p>
        </w:tc>
      </w:tr>
      <w:tr w14:paraId="3E1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0" w:hRule="atLeast"/>
          <w:jc w:val="center"/>
        </w:trPr>
        <w:tc>
          <w:tcPr>
            <w:tcW w:w="530" w:type="dxa"/>
            <w:vMerge w:val="restart"/>
            <w:noWrap w:val="0"/>
            <w:vAlign w:val="center"/>
          </w:tcPr>
          <w:p w14:paraId="67016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057" w:type="dxa"/>
            <w:vMerge w:val="restart"/>
            <w:noWrap w:val="0"/>
            <w:vAlign w:val="center"/>
          </w:tcPr>
          <w:p w14:paraId="655369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对统计调查对象提供不真实的统计资料行为的行政处罚</w:t>
            </w:r>
          </w:p>
        </w:tc>
        <w:tc>
          <w:tcPr>
            <w:tcW w:w="1305" w:type="dxa"/>
            <w:vMerge w:val="restart"/>
            <w:noWrap w:val="0"/>
            <w:vAlign w:val="center"/>
          </w:tcPr>
          <w:p w14:paraId="7B2B3F1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1.《中华人民共和国统计法》第四十一条</w:t>
            </w:r>
          </w:p>
          <w:p w14:paraId="3931D78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2.《广东省统计行政处罚裁量基准表》第2项</w:t>
            </w:r>
          </w:p>
        </w:tc>
        <w:tc>
          <w:tcPr>
            <w:tcW w:w="2415" w:type="dxa"/>
            <w:noWrap w:val="0"/>
            <w:vAlign w:val="center"/>
          </w:tcPr>
          <w:p w14:paraId="0D246AC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67B262B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提供不真实的统计资料，且不属于免罚清单中的免罚适用情形，在危害行为发生后至统计执法检查前，主动减轻或消除统计违法行为危害后果或者影响</w:t>
            </w:r>
            <w:r>
              <w:rPr>
                <w:rFonts w:hint="eastAsia" w:ascii="宋体" w:hAnsi="宋体" w:eastAsia="宋体" w:cs="宋体"/>
                <w:sz w:val="21"/>
                <w:szCs w:val="21"/>
                <w:lang w:eastAsia="zh-CN"/>
              </w:rPr>
              <w:t>的</w:t>
            </w:r>
          </w:p>
        </w:tc>
        <w:tc>
          <w:tcPr>
            <w:tcW w:w="2655" w:type="dxa"/>
            <w:vMerge w:val="restart"/>
            <w:noWrap w:val="0"/>
            <w:vAlign w:val="center"/>
          </w:tcPr>
          <w:p w14:paraId="6FF6D99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当事人有下列情形之一，应当从轻或者减轻行政处罚：</w:t>
            </w:r>
          </w:p>
          <w:p w14:paraId="77429C3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（一）违法数额对本地区或者本部门统计数据影响较小且未造成严重社会影响</w:t>
            </w:r>
            <w:r>
              <w:rPr>
                <w:rFonts w:hint="eastAsia" w:ascii="宋体" w:hAnsi="宋体" w:eastAsia="宋体" w:cs="宋体"/>
                <w:sz w:val="21"/>
                <w:szCs w:val="21"/>
                <w:lang w:eastAsia="zh-CN"/>
              </w:rPr>
              <w:t>；</w:t>
            </w:r>
          </w:p>
          <w:p w14:paraId="683DE73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（二）统计违法行为当事人受有关部门或者人员干预提供不真实、不完整统计资料，当事人提出明确指认且干预违法事实被查实</w:t>
            </w:r>
            <w:r>
              <w:rPr>
                <w:rFonts w:hint="eastAsia" w:ascii="宋体" w:hAnsi="宋体" w:eastAsia="宋体" w:cs="宋体"/>
                <w:sz w:val="21"/>
                <w:szCs w:val="21"/>
                <w:lang w:eastAsia="zh-CN"/>
              </w:rPr>
              <w:t>；</w:t>
            </w:r>
          </w:p>
          <w:p w14:paraId="11E8704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（三）主动反映违法行为和问题线索；</w:t>
            </w:r>
          </w:p>
          <w:p w14:paraId="60ED1E8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（四）主动减轻或消除统计违法行为危害后果或者影响</w:t>
            </w:r>
            <w:r>
              <w:rPr>
                <w:rFonts w:hint="eastAsia" w:ascii="宋体" w:hAnsi="宋体" w:eastAsia="宋体" w:cs="宋体"/>
                <w:sz w:val="21"/>
                <w:szCs w:val="21"/>
                <w:lang w:eastAsia="zh-CN"/>
              </w:rPr>
              <w:t>；</w:t>
            </w:r>
          </w:p>
          <w:p w14:paraId="3594670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（五）配合统计执法部门查处统计违法行为有立功表现的；</w:t>
            </w:r>
          </w:p>
          <w:p w14:paraId="33CD92D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（六）其他依法应当从轻或者减轻处罚的情形。</w:t>
            </w:r>
          </w:p>
        </w:tc>
        <w:tc>
          <w:tcPr>
            <w:tcW w:w="2983" w:type="dxa"/>
            <w:noWrap w:val="0"/>
            <w:vAlign w:val="center"/>
          </w:tcPr>
          <w:p w14:paraId="2A429BC5">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统计调查对象在危害行为发生后至统计执法检查前，差错率已降至10%以下或</w:t>
            </w:r>
            <w:r>
              <w:rPr>
                <w:rFonts w:hint="eastAsia" w:ascii="宋体" w:hAnsi="宋体" w:eastAsia="宋体" w:cs="宋体"/>
                <w:sz w:val="21"/>
                <w:szCs w:val="21"/>
                <w:lang w:eastAsia="zh-CN"/>
              </w:rPr>
              <w:t>违法数额</w:t>
            </w:r>
            <w:r>
              <w:rPr>
                <w:rFonts w:hint="eastAsia" w:ascii="宋体" w:hAnsi="宋体" w:eastAsia="宋体" w:cs="宋体"/>
                <w:sz w:val="21"/>
                <w:szCs w:val="21"/>
              </w:rPr>
              <w:t>已降至200万元以下的（住宿餐饮业、劳动工资、企业研发等统计指标已降至100万元以下），裁量幅度根据《广东省统计行政处罚裁量基准表》中违法情节对应的裁量标准，减轻1-2档；</w:t>
            </w:r>
          </w:p>
          <w:p w14:paraId="0E1D627B">
            <w:pPr>
              <w:keepNext w:val="0"/>
              <w:keepLines w:val="0"/>
              <w:pageBreakBefore w:val="0"/>
              <w:widowControl w:val="0"/>
              <w:kinsoku/>
              <w:wordWrap/>
              <w:overflowPunct/>
              <w:topLinePunct w:val="0"/>
              <w:autoSpaceDE/>
              <w:autoSpaceDN/>
              <w:bidi w:val="0"/>
              <w:adjustRightInd/>
              <w:snapToGrid/>
              <w:spacing w:line="2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统计调查对象在危害行为发生后至统计执法检查前，差错率已降至15%以下且违法数额1亿元以下或</w:t>
            </w:r>
            <w:r>
              <w:rPr>
                <w:rFonts w:hint="eastAsia" w:ascii="宋体" w:hAnsi="宋体" w:eastAsia="宋体" w:cs="宋体"/>
                <w:sz w:val="21"/>
                <w:szCs w:val="21"/>
                <w:lang w:eastAsia="zh-CN"/>
              </w:rPr>
              <w:t>违法数额</w:t>
            </w:r>
            <w:r>
              <w:rPr>
                <w:rFonts w:hint="eastAsia" w:ascii="宋体" w:hAnsi="宋体" w:eastAsia="宋体" w:cs="宋体"/>
                <w:sz w:val="21"/>
                <w:szCs w:val="21"/>
              </w:rPr>
              <w:t>已降至不满500万元的（住宿餐饮业、劳动工资、企业研发等统计指标已降至不满200万元），裁量幅度根据《广东省统计行政处罚裁量基准表》中违法情节对应的裁量标准，减轻1档；</w:t>
            </w:r>
          </w:p>
        </w:tc>
        <w:tc>
          <w:tcPr>
            <w:tcW w:w="1240" w:type="dxa"/>
            <w:vMerge w:val="restart"/>
            <w:noWrap w:val="0"/>
            <w:vAlign w:val="center"/>
          </w:tcPr>
          <w:p w14:paraId="1C1976D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5F95071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 w:val="21"/>
                <w:szCs w:val="21"/>
              </w:rPr>
            </w:pPr>
          </w:p>
        </w:tc>
      </w:tr>
      <w:tr w14:paraId="5662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530" w:type="dxa"/>
            <w:vMerge w:val="continue"/>
            <w:noWrap w:val="0"/>
            <w:vAlign w:val="center"/>
          </w:tcPr>
          <w:p w14:paraId="77DB0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4E8138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4E66FE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43C3C5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7A5206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2D2616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1E5E11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continue"/>
            <w:noWrap w:val="0"/>
            <w:vAlign w:val="center"/>
          </w:tcPr>
          <w:p w14:paraId="51C04A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6F413B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58C6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530" w:type="dxa"/>
            <w:vMerge w:val="continue"/>
            <w:noWrap w:val="0"/>
            <w:vAlign w:val="center"/>
          </w:tcPr>
          <w:p w14:paraId="316D6B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06A887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2E3540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29483AA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17DFE8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02DECC8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52A516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4400EE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4AB2FC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B9A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530" w:type="dxa"/>
            <w:vMerge w:val="continue"/>
            <w:noWrap w:val="0"/>
            <w:vAlign w:val="center"/>
          </w:tcPr>
          <w:p w14:paraId="393480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2268A4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391222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7D5730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1B8409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提供不真实的统计资料，且不属于免罚清单中的免罚适用情形，配合行政机关查处违法行为有立功表现的</w:t>
            </w:r>
          </w:p>
        </w:tc>
        <w:tc>
          <w:tcPr>
            <w:tcW w:w="2655" w:type="dxa"/>
            <w:vMerge w:val="continue"/>
            <w:noWrap w:val="0"/>
            <w:vAlign w:val="center"/>
          </w:tcPr>
          <w:p w14:paraId="086C99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257F1C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1EDF3F5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59554E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4EDB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530" w:type="dxa"/>
            <w:vMerge w:val="restart"/>
            <w:noWrap w:val="0"/>
            <w:vAlign w:val="center"/>
          </w:tcPr>
          <w:p w14:paraId="19C02A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057" w:type="dxa"/>
            <w:vMerge w:val="restart"/>
            <w:noWrap w:val="0"/>
            <w:vAlign w:val="center"/>
          </w:tcPr>
          <w:p w14:paraId="79967E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对统计调查对象未按照国家有关规定设置原始记录、统计台账行为的行政处罚</w:t>
            </w:r>
          </w:p>
        </w:tc>
        <w:tc>
          <w:tcPr>
            <w:tcW w:w="1305" w:type="dxa"/>
            <w:vMerge w:val="restart"/>
            <w:noWrap w:val="0"/>
            <w:vAlign w:val="center"/>
          </w:tcPr>
          <w:p w14:paraId="0345173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6BC0F7C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2.《广东省统计行政处罚裁量基准表》第7项</w:t>
            </w:r>
          </w:p>
        </w:tc>
        <w:tc>
          <w:tcPr>
            <w:tcW w:w="2415" w:type="dxa"/>
            <w:noWrap w:val="0"/>
            <w:vAlign w:val="center"/>
          </w:tcPr>
          <w:p w14:paraId="195D29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55C621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未按照国家有关规定设置原始记录、统计台账行为，且不属于免罚清单中的免罚适用情形，受有关部门或者人员干预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64F5B80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6D0823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restart"/>
            <w:noWrap w:val="0"/>
            <w:vAlign w:val="center"/>
          </w:tcPr>
          <w:p w14:paraId="256E5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59E01B4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3773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530" w:type="dxa"/>
            <w:vMerge w:val="continue"/>
            <w:noWrap w:val="0"/>
            <w:vAlign w:val="center"/>
          </w:tcPr>
          <w:p w14:paraId="303019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4732BA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031D840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03B3B2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1B1E9D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未按照国家有关规定设置原始记录、统计台账行为，且不属于免罚清单中的免罚适用情形，主动反映违法行为和问题线索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4448FE8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47C2BB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679C07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7FE25F6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76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530" w:type="dxa"/>
            <w:vMerge w:val="continue"/>
            <w:noWrap w:val="0"/>
            <w:vAlign w:val="center"/>
          </w:tcPr>
          <w:p w14:paraId="72DD76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31C88E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5C228D1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40825F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6D0808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rPr>
              <w:t>未按照国家有关规定设置原始记录、统计台账行为，且不属于免罚清单中的免罚适用情形，配合行政机关查处违法行为有立功表现的</w:t>
            </w:r>
          </w:p>
        </w:tc>
        <w:tc>
          <w:tcPr>
            <w:tcW w:w="2655" w:type="dxa"/>
            <w:vMerge w:val="continue"/>
            <w:noWrap w:val="0"/>
            <w:vAlign w:val="center"/>
          </w:tcPr>
          <w:p w14:paraId="4764C3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00B85E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39AC54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1EA59C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084F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530" w:type="dxa"/>
            <w:vMerge w:val="restart"/>
            <w:noWrap w:val="0"/>
            <w:vAlign w:val="center"/>
          </w:tcPr>
          <w:p w14:paraId="69CBBB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057" w:type="dxa"/>
            <w:vMerge w:val="restart"/>
            <w:noWrap w:val="0"/>
            <w:vAlign w:val="center"/>
          </w:tcPr>
          <w:p w14:paraId="714DF2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对统计调查对象迟报统计资料行为的行政处罚</w:t>
            </w:r>
          </w:p>
        </w:tc>
        <w:tc>
          <w:tcPr>
            <w:tcW w:w="1305" w:type="dxa"/>
            <w:vMerge w:val="restart"/>
            <w:noWrap w:val="0"/>
            <w:vAlign w:val="center"/>
          </w:tcPr>
          <w:p w14:paraId="6622EB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1.《中华人民共和国统计法》第四十二条</w:t>
            </w:r>
          </w:p>
          <w:p w14:paraId="27AAD0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2.《广东省统计行政处罚裁量基准表》第6项</w:t>
            </w:r>
          </w:p>
        </w:tc>
        <w:tc>
          <w:tcPr>
            <w:tcW w:w="2415" w:type="dxa"/>
            <w:noWrap w:val="0"/>
            <w:vAlign w:val="center"/>
          </w:tcPr>
          <w:p w14:paraId="0521F4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21EE3E1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迟报统计资料，且不属于免罚清单中的免罚适用情形，一年内迟报统计资料不超过2次，但能及时改正，主动消除危害后果</w:t>
            </w:r>
          </w:p>
        </w:tc>
        <w:tc>
          <w:tcPr>
            <w:tcW w:w="2655" w:type="dxa"/>
            <w:vMerge w:val="continue"/>
            <w:noWrap w:val="0"/>
            <w:vAlign w:val="center"/>
          </w:tcPr>
          <w:p w14:paraId="50CB144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26C6D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处以警告</w:t>
            </w:r>
          </w:p>
        </w:tc>
        <w:tc>
          <w:tcPr>
            <w:tcW w:w="1240" w:type="dxa"/>
            <w:vMerge w:val="restart"/>
            <w:noWrap w:val="0"/>
            <w:vAlign w:val="center"/>
          </w:tcPr>
          <w:p w14:paraId="6E597D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加强教育、责令改正、及时复查整改情况，加强日常检查</w:t>
            </w:r>
          </w:p>
        </w:tc>
        <w:tc>
          <w:tcPr>
            <w:tcW w:w="847" w:type="dxa"/>
            <w:noWrap w:val="0"/>
            <w:vAlign w:val="center"/>
          </w:tcPr>
          <w:p w14:paraId="324C5C2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188B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530" w:type="dxa"/>
            <w:vMerge w:val="continue"/>
            <w:noWrap w:val="0"/>
            <w:vAlign w:val="center"/>
          </w:tcPr>
          <w:p w14:paraId="0D5B1A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60D9E5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244A92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60144C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1E49340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迟报统计资料，且不属于免罚清单中的免罚适用情形，受有关部门或者人员干预</w:t>
            </w:r>
            <w:r>
              <w:rPr>
                <w:rFonts w:hint="eastAsia" w:ascii="宋体" w:hAnsi="宋体" w:eastAsia="宋体" w:cs="宋体"/>
                <w:sz w:val="21"/>
                <w:szCs w:val="21"/>
                <w:lang w:eastAsia="zh-CN"/>
              </w:rPr>
              <w:t>实施统计违法行为的</w:t>
            </w:r>
          </w:p>
        </w:tc>
        <w:tc>
          <w:tcPr>
            <w:tcW w:w="2655" w:type="dxa"/>
            <w:vMerge w:val="continue"/>
            <w:noWrap w:val="0"/>
            <w:vAlign w:val="center"/>
          </w:tcPr>
          <w:p w14:paraId="024CA0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4E1D04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裁量幅度根据《广东省统计行政处罚裁量基准表》中违法情节对应的裁量标准，减轻1-2档</w:t>
            </w:r>
          </w:p>
        </w:tc>
        <w:tc>
          <w:tcPr>
            <w:tcW w:w="1240" w:type="dxa"/>
            <w:vMerge w:val="continue"/>
            <w:noWrap w:val="0"/>
            <w:vAlign w:val="center"/>
          </w:tcPr>
          <w:p w14:paraId="7282765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020CB1F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185D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530" w:type="dxa"/>
            <w:vMerge w:val="continue"/>
            <w:noWrap w:val="0"/>
            <w:vAlign w:val="center"/>
          </w:tcPr>
          <w:p w14:paraId="6C142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68F2D4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574EC86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633CE1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28A51C4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迟报统计资料，且不属于免罚清单中的免罚适用情形，主动反映违法行为和问题线索</w:t>
            </w:r>
            <w:r>
              <w:rPr>
                <w:rFonts w:hint="eastAsia" w:ascii="宋体" w:hAnsi="宋体" w:eastAsia="宋体" w:cs="宋体"/>
                <w:sz w:val="21"/>
                <w:szCs w:val="21"/>
                <w:lang w:eastAsia="zh-CN"/>
              </w:rPr>
              <w:t>的</w:t>
            </w:r>
          </w:p>
        </w:tc>
        <w:tc>
          <w:tcPr>
            <w:tcW w:w="2655" w:type="dxa"/>
            <w:vMerge w:val="continue"/>
            <w:noWrap w:val="0"/>
            <w:vAlign w:val="center"/>
          </w:tcPr>
          <w:p w14:paraId="6F2C1E5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6398C54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48D8DC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2969043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r w14:paraId="7D6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30" w:type="dxa"/>
            <w:vMerge w:val="continue"/>
            <w:noWrap w:val="0"/>
            <w:vAlign w:val="center"/>
          </w:tcPr>
          <w:p w14:paraId="7A59F4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057" w:type="dxa"/>
            <w:vMerge w:val="continue"/>
            <w:noWrap w:val="0"/>
            <w:vAlign w:val="center"/>
          </w:tcPr>
          <w:p w14:paraId="565325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305" w:type="dxa"/>
            <w:vMerge w:val="continue"/>
            <w:noWrap w:val="0"/>
            <w:vAlign w:val="center"/>
          </w:tcPr>
          <w:p w14:paraId="267474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415" w:type="dxa"/>
            <w:noWrap w:val="0"/>
            <w:vAlign w:val="center"/>
          </w:tcPr>
          <w:p w14:paraId="7C70F0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统计调查对象符合下列条件的，应当减轻处罚：</w:t>
            </w:r>
          </w:p>
          <w:p w14:paraId="01847E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迟报统计资料，且不属于免罚清单中的免罚适用情形，配合行政机关查处违法行为有立功表现的</w:t>
            </w:r>
          </w:p>
        </w:tc>
        <w:tc>
          <w:tcPr>
            <w:tcW w:w="2655" w:type="dxa"/>
            <w:vMerge w:val="continue"/>
            <w:noWrap w:val="0"/>
            <w:vAlign w:val="center"/>
          </w:tcPr>
          <w:p w14:paraId="158B35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2983" w:type="dxa"/>
            <w:noWrap w:val="0"/>
            <w:vAlign w:val="center"/>
          </w:tcPr>
          <w:p w14:paraId="52AD40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rPr>
              <w:t>裁量幅度根据《广东省统计行政处罚裁量基准表》中违法情节对应的裁量标准，减轻1档</w:t>
            </w:r>
          </w:p>
        </w:tc>
        <w:tc>
          <w:tcPr>
            <w:tcW w:w="1240" w:type="dxa"/>
            <w:vMerge w:val="continue"/>
            <w:noWrap w:val="0"/>
            <w:vAlign w:val="center"/>
          </w:tcPr>
          <w:p w14:paraId="637933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847" w:type="dxa"/>
            <w:noWrap w:val="0"/>
            <w:vAlign w:val="center"/>
          </w:tcPr>
          <w:p w14:paraId="203903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r>
    </w:tbl>
    <w:p w14:paraId="60F76974">
      <w:pPr>
        <w:spacing w:line="340" w:lineRule="exact"/>
        <w:rPr>
          <w:rFonts w:hint="eastAsia" w:ascii="宋体" w:hAnsi="宋体" w:eastAsia="宋体" w:cs="宋体"/>
          <w:bCs/>
          <w:sz w:val="22"/>
        </w:rPr>
      </w:pPr>
    </w:p>
    <w:p w14:paraId="59E8BD8B">
      <w:pPr>
        <w:spacing w:line="340" w:lineRule="exact"/>
        <w:rPr>
          <w:rFonts w:hint="eastAsia" w:ascii="宋体" w:hAnsi="宋体" w:eastAsia="宋体" w:cs="宋体"/>
          <w:bCs/>
          <w:sz w:val="22"/>
        </w:rPr>
      </w:pPr>
      <w:r>
        <w:rPr>
          <w:rFonts w:hint="eastAsia" w:ascii="宋体" w:hAnsi="宋体" w:eastAsia="宋体" w:cs="宋体"/>
          <w:bCs/>
          <w:sz w:val="22"/>
        </w:rPr>
        <w:t>备注：1.减轻处罚清单中的最低减轻幅度为“减轻至警告”。</w:t>
      </w:r>
    </w:p>
    <w:p w14:paraId="7FBE121E">
      <w:pPr>
        <w:adjustRightInd/>
        <w:spacing w:line="340" w:lineRule="exact"/>
        <w:ind w:firstLine="660" w:firstLineChars="300"/>
        <w:rPr>
          <w:rFonts w:hint="eastAsia" w:ascii="黑体" w:eastAsia="黑体"/>
          <w:kern w:val="0"/>
          <w:sz w:val="32"/>
          <w:szCs w:val="32"/>
        </w:rPr>
        <w:sectPr>
          <w:pgSz w:w="16840" w:h="11907" w:orient="landscape"/>
          <w:pgMar w:top="1587" w:right="2098" w:bottom="1474" w:left="1984" w:header="851" w:footer="1077" w:gutter="0"/>
          <w:pgBorders>
            <w:top w:val="none" w:sz="0" w:space="0"/>
            <w:left w:val="none" w:sz="0" w:space="0"/>
            <w:bottom w:val="none" w:sz="0" w:space="0"/>
            <w:right w:val="none" w:sz="0" w:space="0"/>
          </w:pgBorders>
          <w:cols w:space="720" w:num="1"/>
          <w:rtlGutter w:val="0"/>
          <w:docGrid w:type="lines" w:linePitch="589" w:charSpace="0"/>
        </w:sectPr>
      </w:pPr>
      <w:r>
        <w:rPr>
          <w:rFonts w:hint="eastAsia" w:ascii="宋体" w:hAnsi="宋体" w:eastAsia="宋体" w:cs="宋体"/>
          <w:bCs/>
          <w:sz w:val="22"/>
          <w:lang w:val="en-US" w:eastAsia="zh-CN"/>
        </w:rPr>
        <w:t>2.</w:t>
      </w:r>
      <w:r>
        <w:rPr>
          <w:rFonts w:hint="eastAsia" w:ascii="宋体" w:hAnsi="宋体" w:eastAsia="宋体" w:cs="宋体"/>
          <w:sz w:val="21"/>
          <w:szCs w:val="21"/>
        </w:rPr>
        <w:t>经济普查、农业普查</w:t>
      </w:r>
      <w:r>
        <w:rPr>
          <w:rFonts w:hint="eastAsia" w:ascii="宋体" w:hAnsi="宋体" w:eastAsia="宋体" w:cs="宋体"/>
          <w:sz w:val="21"/>
          <w:szCs w:val="21"/>
          <w:lang w:eastAsia="zh-CN"/>
        </w:rPr>
        <w:t>中统计违法</w:t>
      </w:r>
      <w:r>
        <w:rPr>
          <w:rFonts w:hint="eastAsia" w:ascii="宋体" w:hAnsi="宋体" w:eastAsia="宋体" w:cs="宋体"/>
          <w:sz w:val="21"/>
          <w:szCs w:val="21"/>
        </w:rPr>
        <w:t>减轻处罚适用情形参照以上情形。</w:t>
      </w:r>
      <w:bookmarkStart w:id="0" w:name="_GoBack"/>
      <w:bookmarkEnd w:id="0"/>
    </w:p>
    <w:p w14:paraId="0097408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445D3-E445-40AA-A3E4-C6C37891B4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408B46-AF15-42D8-8667-DAFA0007163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5E483EBE-F7AE-4DC6-9799-565B8749D0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ZTI1NjkwMDRlOGIxMzBhNDZiMmNiZDJhMmUyYWYifQ=="/>
  </w:docVars>
  <w:rsids>
    <w:rsidRoot w:val="3DC47872"/>
    <w:rsid w:val="3DC4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2024-09-02T09:06:00Z</dcterms:created>
  <dc:creator>Guowi</dc:creator>
  <cp:lastModifiedBy>Guowi</cp:lastModifiedBy>
  <dcterms:modified xsi:type="dcterms:W3CDTF">2024-09-02T09:06:50Z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5AA78924B05446AEBDE12061961F2615_11</vt:lpwstr>
  </property>
</Properties>
</file>