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C6245">
      <w:pPr>
        <w:spacing w:line="360" w:lineRule="auto"/>
        <w:ind w:firstLine="480" w:firstLineChars="150"/>
        <w:rPr>
          <w:rFonts w:hint="eastAsia" w:ascii="仿宋_GB2312" w:eastAsia="仿宋_GB2312"/>
          <w:color w:val="auto"/>
          <w:sz w:val="32"/>
          <w:szCs w:val="32"/>
        </w:rPr>
      </w:pPr>
      <w:r>
        <w:rPr>
          <w:rFonts w:hint="eastAsia" w:ascii="仿宋_GB2312" w:eastAsia="仿宋_GB2312"/>
          <w:color w:val="auto"/>
          <w:sz w:val="32"/>
          <w:szCs w:val="32"/>
        </w:rPr>
        <w:t xml:space="preserve">     </w:t>
      </w:r>
    </w:p>
    <w:p w14:paraId="0BA2FCBC">
      <w:pPr>
        <w:spacing w:line="360" w:lineRule="auto"/>
        <w:jc w:val="center"/>
        <w:rPr>
          <w:rFonts w:hint="eastAsia" w:ascii="方正小标宋简体" w:eastAsia="方正小标宋简体"/>
          <w:color w:val="auto"/>
          <w:sz w:val="44"/>
          <w:szCs w:val="44"/>
        </w:rPr>
      </w:pPr>
      <w:r>
        <w:rPr>
          <w:rFonts w:hint="eastAsia" w:ascii="方正小标宋简体" w:eastAsia="方正小标宋简体"/>
          <w:color w:val="auto"/>
          <w:sz w:val="44"/>
          <w:szCs w:val="44"/>
        </w:rPr>
        <w:t>部门整体支出绩效自评报告</w:t>
      </w:r>
    </w:p>
    <w:p w14:paraId="1A6CFD0C">
      <w:pPr>
        <w:spacing w:line="360" w:lineRule="auto"/>
        <w:ind w:firstLine="450" w:firstLineChars="150"/>
        <w:rPr>
          <w:rFonts w:hint="eastAsia" w:ascii="仿宋_GB2312" w:eastAsia="仿宋_GB2312"/>
          <w:color w:val="auto"/>
          <w:sz w:val="30"/>
          <w:szCs w:val="30"/>
        </w:rPr>
      </w:pPr>
    </w:p>
    <w:p w14:paraId="02BC2347">
      <w:pPr>
        <w:spacing w:line="360" w:lineRule="auto"/>
        <w:ind w:firstLine="450" w:firstLineChars="150"/>
        <w:rPr>
          <w:rFonts w:hint="eastAsia" w:ascii="仿宋_GB2312" w:eastAsia="仿宋_GB2312"/>
          <w:color w:val="auto"/>
          <w:sz w:val="30"/>
          <w:szCs w:val="30"/>
        </w:rPr>
      </w:pPr>
    </w:p>
    <w:p w14:paraId="5D094924">
      <w:pPr>
        <w:spacing w:line="360" w:lineRule="auto"/>
        <w:ind w:firstLine="450" w:firstLineChars="150"/>
        <w:rPr>
          <w:rFonts w:hint="eastAsia" w:ascii="仿宋_GB2312" w:eastAsia="仿宋_GB2312"/>
          <w:color w:val="auto"/>
          <w:sz w:val="30"/>
          <w:szCs w:val="30"/>
        </w:rPr>
      </w:pPr>
    </w:p>
    <w:p w14:paraId="3B3EB017">
      <w:pPr>
        <w:spacing w:line="360" w:lineRule="auto"/>
        <w:ind w:firstLine="450" w:firstLineChars="150"/>
        <w:rPr>
          <w:rFonts w:hint="eastAsia" w:ascii="仿宋_GB2312" w:eastAsia="仿宋_GB2312"/>
          <w:color w:val="auto"/>
          <w:sz w:val="30"/>
          <w:szCs w:val="30"/>
        </w:rPr>
      </w:pPr>
    </w:p>
    <w:p w14:paraId="354EE78A">
      <w:pPr>
        <w:spacing w:line="360" w:lineRule="auto"/>
        <w:ind w:firstLine="450" w:firstLineChars="150"/>
        <w:rPr>
          <w:rFonts w:hint="eastAsia" w:ascii="仿宋_GB2312" w:eastAsia="仿宋_GB2312"/>
          <w:color w:val="auto"/>
          <w:sz w:val="30"/>
          <w:szCs w:val="30"/>
        </w:rPr>
      </w:pPr>
    </w:p>
    <w:p w14:paraId="617122C6">
      <w:pPr>
        <w:spacing w:line="360" w:lineRule="auto"/>
        <w:ind w:firstLine="450" w:firstLineChars="150"/>
        <w:rPr>
          <w:rFonts w:hint="eastAsia" w:ascii="仿宋_GB2312" w:eastAsia="仿宋_GB2312"/>
          <w:color w:val="auto"/>
          <w:sz w:val="30"/>
          <w:szCs w:val="30"/>
        </w:rPr>
      </w:pPr>
    </w:p>
    <w:p w14:paraId="5AB9A35F">
      <w:pPr>
        <w:spacing w:line="360" w:lineRule="auto"/>
        <w:ind w:firstLine="450" w:firstLineChars="150"/>
        <w:rPr>
          <w:rFonts w:hint="eastAsia" w:ascii="仿宋_GB2312" w:eastAsia="仿宋_GB2312"/>
          <w:color w:val="auto"/>
          <w:sz w:val="30"/>
          <w:szCs w:val="30"/>
        </w:rPr>
      </w:pPr>
    </w:p>
    <w:p w14:paraId="40401763">
      <w:pPr>
        <w:spacing w:line="360" w:lineRule="auto"/>
        <w:ind w:firstLine="450" w:firstLineChars="150"/>
        <w:rPr>
          <w:rFonts w:hint="eastAsia" w:ascii="仿宋_GB2312" w:eastAsia="仿宋_GB2312"/>
          <w:color w:val="auto"/>
          <w:sz w:val="30"/>
          <w:szCs w:val="30"/>
        </w:rPr>
      </w:pPr>
    </w:p>
    <w:p w14:paraId="519F7940">
      <w:pPr>
        <w:spacing w:line="360" w:lineRule="auto"/>
        <w:ind w:firstLine="450" w:firstLineChars="150"/>
        <w:rPr>
          <w:rFonts w:hint="eastAsia" w:ascii="仿宋_GB2312" w:eastAsia="仿宋_GB2312"/>
          <w:color w:val="auto"/>
          <w:sz w:val="30"/>
          <w:szCs w:val="30"/>
        </w:rPr>
      </w:pPr>
    </w:p>
    <w:p w14:paraId="43E8B483">
      <w:pPr>
        <w:spacing w:line="360" w:lineRule="auto"/>
        <w:ind w:firstLine="450" w:firstLineChars="150"/>
        <w:rPr>
          <w:rFonts w:hint="eastAsia" w:ascii="仿宋_GB2312" w:eastAsia="仿宋_GB2312"/>
          <w:color w:val="auto"/>
          <w:sz w:val="30"/>
          <w:szCs w:val="30"/>
        </w:rPr>
      </w:pPr>
    </w:p>
    <w:p w14:paraId="0AE87AB7">
      <w:pPr>
        <w:spacing w:line="360" w:lineRule="auto"/>
        <w:ind w:firstLine="450" w:firstLineChars="150"/>
        <w:rPr>
          <w:rFonts w:hint="eastAsia" w:ascii="仿宋_GB2312" w:eastAsia="仿宋_GB2312"/>
          <w:color w:val="auto"/>
          <w:sz w:val="30"/>
          <w:szCs w:val="30"/>
        </w:rPr>
      </w:pPr>
    </w:p>
    <w:p w14:paraId="092C919B">
      <w:pPr>
        <w:spacing w:line="360" w:lineRule="auto"/>
        <w:rPr>
          <w:rFonts w:hint="eastAsia" w:ascii="仿宋_GB2312" w:eastAsia="仿宋_GB2312"/>
          <w:color w:val="auto"/>
          <w:sz w:val="32"/>
          <w:szCs w:val="32"/>
        </w:rPr>
      </w:pPr>
      <w:r>
        <w:rPr>
          <w:rFonts w:hint="eastAsia" w:ascii="仿宋_GB2312" w:eastAsia="仿宋_GB2312"/>
          <w:color w:val="auto"/>
          <w:sz w:val="32"/>
          <w:szCs w:val="32"/>
        </w:rPr>
        <w:t xml:space="preserve">    </w:t>
      </w:r>
    </w:p>
    <w:p w14:paraId="672BEC53">
      <w:pPr>
        <w:spacing w:line="620" w:lineRule="exact"/>
        <w:rPr>
          <w:rFonts w:hint="eastAsia" w:ascii="仿宋_GB2312" w:eastAsia="仿宋_GB2312"/>
          <w:color w:val="auto"/>
          <w:sz w:val="32"/>
          <w:szCs w:val="32"/>
        </w:rPr>
      </w:pPr>
      <w:r>
        <w:rPr>
          <w:rFonts w:hint="eastAsia" w:ascii="仿宋_GB2312" w:eastAsia="仿宋_GB2312"/>
          <w:color w:val="auto"/>
          <w:sz w:val="32"/>
          <w:szCs w:val="32"/>
        </w:rPr>
        <w:t>评价年度：2024年</w:t>
      </w:r>
    </w:p>
    <w:p w14:paraId="4B8D2B6D">
      <w:pPr>
        <w:spacing w:line="620" w:lineRule="exact"/>
        <w:rPr>
          <w:rFonts w:hint="eastAsia" w:ascii="仿宋_GB2312" w:eastAsia="仿宋_GB2312"/>
          <w:color w:val="auto"/>
          <w:sz w:val="32"/>
          <w:szCs w:val="32"/>
        </w:rPr>
      </w:pPr>
      <w:r>
        <w:rPr>
          <w:rFonts w:hint="eastAsia" w:ascii="仿宋_GB2312" w:eastAsia="仿宋_GB2312"/>
          <w:color w:val="auto"/>
          <w:sz w:val="32"/>
          <w:szCs w:val="32"/>
        </w:rPr>
        <w:t>评价单位（公章）：湛江市麻章区残疾人联合会</w:t>
      </w:r>
    </w:p>
    <w:p w14:paraId="2F2E4DA4">
      <w:pPr>
        <w:spacing w:line="620" w:lineRule="exact"/>
        <w:rPr>
          <w:rFonts w:hint="eastAsia" w:ascii="仿宋_GB2312" w:eastAsia="仿宋_GB2312"/>
          <w:color w:val="auto"/>
          <w:sz w:val="32"/>
          <w:szCs w:val="32"/>
        </w:rPr>
      </w:pPr>
      <w:r>
        <w:rPr>
          <w:rFonts w:hint="eastAsia" w:ascii="仿宋_GB2312" w:eastAsia="仿宋_GB2312"/>
          <w:color w:val="auto"/>
          <w:sz w:val="32"/>
          <w:szCs w:val="32"/>
        </w:rPr>
        <w:t>填报日期：2025年8月20日</w:t>
      </w:r>
    </w:p>
    <w:p w14:paraId="5DBECACB">
      <w:pPr>
        <w:ind w:left="359" w:leftChars="171"/>
        <w:jc w:val="center"/>
        <w:rPr>
          <w:rFonts w:hint="eastAsia" w:ascii="黑体" w:hAnsi="黑体" w:eastAsia="黑体" w:cs="黑体"/>
          <w:b/>
          <w:color w:val="auto"/>
          <w:sz w:val="44"/>
          <w:szCs w:val="44"/>
        </w:rPr>
      </w:pPr>
    </w:p>
    <w:p w14:paraId="73EA377D">
      <w:pPr>
        <w:spacing w:line="600" w:lineRule="exact"/>
        <w:ind w:firstLine="640" w:firstLineChars="200"/>
        <w:rPr>
          <w:rFonts w:hint="eastAsia" w:ascii="仿宋_GB2312" w:hAnsi="华文仿宋" w:eastAsia="仿宋_GB2312" w:cs="仿宋_GB2312"/>
          <w:color w:val="auto"/>
          <w:sz w:val="32"/>
          <w:szCs w:val="32"/>
        </w:rPr>
      </w:pPr>
    </w:p>
    <w:p w14:paraId="696A8479">
      <w:pPr>
        <w:spacing w:line="600" w:lineRule="exact"/>
        <w:ind w:firstLine="640" w:firstLineChars="200"/>
        <w:rPr>
          <w:rFonts w:hint="eastAsia" w:ascii="仿宋_GB2312" w:hAnsi="华文仿宋" w:eastAsia="仿宋_GB2312" w:cs="仿宋_GB2312"/>
          <w:color w:val="auto"/>
          <w:sz w:val="32"/>
          <w:szCs w:val="32"/>
        </w:rPr>
      </w:pPr>
    </w:p>
    <w:p w14:paraId="4A4121E0">
      <w:pPr>
        <w:keepNext w:val="0"/>
        <w:keepLines w:val="0"/>
        <w:pageBreakBefore w:val="0"/>
        <w:widowControl w:val="0"/>
        <w:kinsoku/>
        <w:wordWrap/>
        <w:overflowPunct/>
        <w:topLinePunct w:val="0"/>
        <w:autoSpaceDE/>
        <w:autoSpaceDN/>
        <w:bidi w:val="0"/>
        <w:adjustRightInd/>
        <w:spacing w:line="580" w:lineRule="exact"/>
        <w:ind w:left="0" w:right="0" w:firstLine="640" w:firstLineChars="200"/>
        <w:rPr>
          <w:rFonts w:hint="eastAsia" w:ascii="仿宋_GB2312" w:hAnsi="华文仿宋" w:eastAsia="仿宋_GB2312" w:cs="仿宋_GB2312"/>
          <w:color w:val="auto"/>
          <w:sz w:val="32"/>
          <w:szCs w:val="32"/>
        </w:rPr>
      </w:pPr>
    </w:p>
    <w:p w14:paraId="29F40493">
      <w:pPr>
        <w:keepNext w:val="0"/>
        <w:keepLines w:val="0"/>
        <w:pageBreakBefore w:val="0"/>
        <w:widowControl w:val="0"/>
        <w:kinsoku/>
        <w:wordWrap/>
        <w:overflowPunct/>
        <w:topLinePunct w:val="0"/>
        <w:autoSpaceDE/>
        <w:autoSpaceDN/>
        <w:bidi w:val="0"/>
        <w:adjustRightInd/>
        <w:spacing w:line="580" w:lineRule="exact"/>
        <w:ind w:left="0" w:right="0" w:firstLine="640" w:firstLineChars="200"/>
        <w:rPr>
          <w:rFonts w:hint="eastAsia" w:ascii="仿宋_GB2312" w:hAnsi="华文仿宋" w:eastAsia="仿宋_GB2312" w:cs="仿宋_GB2312"/>
          <w:color w:val="auto"/>
          <w:sz w:val="32"/>
          <w:szCs w:val="32"/>
        </w:rPr>
      </w:pPr>
    </w:p>
    <w:p w14:paraId="2A9E6222">
      <w:pPr>
        <w:keepNext w:val="0"/>
        <w:keepLines w:val="0"/>
        <w:pageBreakBefore w:val="0"/>
        <w:widowControl w:val="0"/>
        <w:kinsoku/>
        <w:wordWrap/>
        <w:overflowPunct/>
        <w:topLinePunct w:val="0"/>
        <w:autoSpaceDE/>
        <w:autoSpaceDN/>
        <w:bidi w:val="0"/>
        <w:adjustRightInd/>
        <w:spacing w:line="580" w:lineRule="exact"/>
        <w:ind w:left="0" w:right="0" w:firstLine="640" w:firstLineChars="200"/>
        <w:rPr>
          <w:rFonts w:hint="eastAsia" w:ascii="仿宋_GB2312" w:hAnsi="华文仿宋" w:eastAsia="仿宋_GB2312" w:cs="仿宋_GB2312"/>
          <w:color w:val="auto"/>
          <w:sz w:val="32"/>
          <w:szCs w:val="32"/>
        </w:rPr>
      </w:pPr>
      <w:r>
        <w:rPr>
          <w:rFonts w:hint="eastAsia" w:ascii="仿宋_GB2312" w:hAnsi="华文仿宋" w:eastAsia="仿宋_GB2312" w:cs="仿宋_GB2312"/>
          <w:color w:val="auto"/>
          <w:sz w:val="32"/>
          <w:szCs w:val="32"/>
        </w:rPr>
        <w:t>根据（</w:t>
      </w:r>
      <w:r>
        <w:rPr>
          <w:rFonts w:ascii="仿宋_GB2312" w:hAnsi="华文仿宋" w:eastAsia="仿宋_GB2312" w:cs="仿宋_GB2312"/>
          <w:color w:val="auto"/>
          <w:sz w:val="32"/>
          <w:szCs w:val="32"/>
        </w:rPr>
        <w:t>湛麻财〔2025〕80 号</w:t>
      </w:r>
      <w:r>
        <w:rPr>
          <w:rFonts w:hint="eastAsia" w:ascii="仿宋_GB2312" w:hAnsi="华文仿宋" w:eastAsia="仿宋_GB2312" w:cs="仿宋_GB2312"/>
          <w:color w:val="auto"/>
          <w:sz w:val="32"/>
          <w:szCs w:val="32"/>
        </w:rPr>
        <w:t>）要求，我单位及时布置自评，成立自评工作</w:t>
      </w:r>
      <w:r>
        <w:rPr>
          <w:rFonts w:hint="eastAsia" w:ascii="仿宋_GB2312" w:hAnsi="华文仿宋" w:eastAsia="仿宋_GB2312" w:cs="仿宋_GB2312"/>
          <w:color w:val="auto"/>
          <w:sz w:val="32"/>
          <w:szCs w:val="32"/>
          <w:lang w:val="en-US" w:eastAsia="zh-CN"/>
        </w:rPr>
        <w:t>领导</w:t>
      </w:r>
      <w:r>
        <w:rPr>
          <w:rFonts w:hint="eastAsia" w:ascii="仿宋_GB2312" w:hAnsi="华文仿宋" w:eastAsia="仿宋_GB2312" w:cs="仿宋_GB2312"/>
          <w:color w:val="auto"/>
          <w:sz w:val="32"/>
          <w:szCs w:val="32"/>
        </w:rPr>
        <w:t>小组，明确分工，落实责任，认真开展自评自查工作</w:t>
      </w:r>
      <w:r>
        <w:rPr>
          <w:rFonts w:hint="eastAsia" w:ascii="仿宋_GB2312" w:hAnsi="华文仿宋" w:eastAsia="仿宋_GB2312" w:cs="仿宋_GB2312"/>
          <w:color w:val="auto"/>
          <w:sz w:val="32"/>
          <w:szCs w:val="32"/>
          <w:lang w:eastAsia="zh-CN"/>
        </w:rPr>
        <w:t>。</w:t>
      </w:r>
      <w:r>
        <w:rPr>
          <w:rFonts w:hint="eastAsia" w:ascii="仿宋_GB2312" w:hAnsi="华文仿宋" w:eastAsia="仿宋_GB2312" w:cs="仿宋_GB2312"/>
          <w:color w:val="auto"/>
          <w:sz w:val="32"/>
          <w:szCs w:val="32"/>
        </w:rPr>
        <w:t>经查阅、核实有关账务及项目等执行情况，填写自评表格并综合分析，形成本评价报告。现将2024年度</w:t>
      </w:r>
      <w:r>
        <w:rPr>
          <w:rFonts w:hint="eastAsia" w:ascii="仿宋_GB2312" w:hAnsi="仿宋" w:eastAsia="仿宋_GB2312" w:cs="仿宋"/>
          <w:bCs/>
          <w:color w:val="auto"/>
          <w:sz w:val="32"/>
          <w:szCs w:val="32"/>
        </w:rPr>
        <w:t>湛江市麻章区残疾人联合会</w:t>
      </w:r>
      <w:r>
        <w:rPr>
          <w:rFonts w:hint="eastAsia" w:ascii="仿宋_GB2312" w:hAnsi="华文仿宋" w:eastAsia="仿宋_GB2312" w:cs="仿宋_GB2312"/>
          <w:color w:val="auto"/>
          <w:sz w:val="32"/>
          <w:szCs w:val="32"/>
        </w:rPr>
        <w:t>整体支出绩效自评情况报告如下：</w:t>
      </w:r>
    </w:p>
    <w:p w14:paraId="6CA8A4C6">
      <w:pPr>
        <w:keepNext w:val="0"/>
        <w:keepLines w:val="0"/>
        <w:pageBreakBefore w:val="0"/>
        <w:widowControl w:val="0"/>
        <w:numPr>
          <w:ilvl w:val="0"/>
          <w:numId w:val="0"/>
        </w:numPr>
        <w:kinsoku/>
        <w:wordWrap/>
        <w:overflowPunct/>
        <w:topLinePunct w:val="0"/>
        <w:autoSpaceDE/>
        <w:autoSpaceDN/>
        <w:bidi w:val="0"/>
        <w:adjustRightInd/>
        <w:spacing w:line="580" w:lineRule="exact"/>
        <w:ind w:left="0" w:right="0" w:firstLine="640" w:firstLineChars="200"/>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lang w:val="en-US" w:eastAsia="zh-CN"/>
        </w:rPr>
        <w:t>一、</w:t>
      </w:r>
      <w:r>
        <w:rPr>
          <w:rFonts w:hint="eastAsia" w:ascii="黑体" w:hAnsi="黑体" w:eastAsia="黑体" w:cs="黑体"/>
          <w:b w:val="0"/>
          <w:bCs/>
          <w:color w:val="auto"/>
          <w:sz w:val="32"/>
          <w:szCs w:val="32"/>
          <w:highlight w:val="none"/>
        </w:rPr>
        <w:t>单位基本情况</w:t>
      </w:r>
    </w:p>
    <w:p w14:paraId="230F87A1">
      <w:pPr>
        <w:keepNext w:val="0"/>
        <w:keepLines w:val="0"/>
        <w:pageBreakBefore w:val="0"/>
        <w:widowControl w:val="0"/>
        <w:kinsoku/>
        <w:wordWrap/>
        <w:overflowPunct/>
        <w:topLinePunct w:val="0"/>
        <w:autoSpaceDE/>
        <w:autoSpaceDN/>
        <w:bidi w:val="0"/>
        <w:adjustRightInd/>
        <w:spacing w:line="580" w:lineRule="exact"/>
        <w:ind w:left="0" w:right="0"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lang w:val="en-US" w:eastAsia="zh-CN"/>
        </w:rPr>
        <w:t>一</w:t>
      </w: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rPr>
        <w:t>单位机构设置、部门职能情况</w:t>
      </w:r>
    </w:p>
    <w:p w14:paraId="0512C70E">
      <w:pPr>
        <w:keepNext w:val="0"/>
        <w:keepLines w:val="0"/>
        <w:pageBreakBefore w:val="0"/>
        <w:widowControl w:val="0"/>
        <w:kinsoku/>
        <w:wordWrap/>
        <w:overflowPunct/>
        <w:topLinePunct w:val="0"/>
        <w:autoSpaceDE/>
        <w:autoSpaceDN/>
        <w:bidi w:val="0"/>
        <w:adjustRightInd/>
        <w:spacing w:line="580" w:lineRule="exact"/>
        <w:ind w:left="0" w:right="0" w:firstLine="640" w:firstLineChars="200"/>
        <w:rPr>
          <w:rFonts w:hint="eastAsia" w:ascii="仿宋_GB2312" w:hAnsi="华文仿宋" w:eastAsia="仿宋_GB2312" w:cs="仿宋_GB2312"/>
          <w:color w:val="auto"/>
          <w:sz w:val="32"/>
          <w:szCs w:val="32"/>
          <w:highlight w:val="none"/>
        </w:rPr>
      </w:pPr>
      <w:r>
        <w:rPr>
          <w:rFonts w:hint="eastAsia" w:ascii="仿宋_GB2312" w:hAnsi="华文仿宋" w:eastAsia="仿宋_GB2312" w:cs="仿宋_GB2312"/>
          <w:color w:val="auto"/>
          <w:sz w:val="32"/>
          <w:szCs w:val="32"/>
          <w:highlight w:val="none"/>
        </w:rPr>
        <w:t>单位情况：麻章区残疾人联合会设置办公室和康复股。下属单位：湛江市麻章区残疾人劳动服务所，为非独立核算单位。麻章区残疾人联合会2024年年末行政人员编制4人，事业编制4人，</w:t>
      </w:r>
      <w:r>
        <w:rPr>
          <w:rFonts w:hint="eastAsia" w:ascii="仿宋_GB2312" w:hAnsi="华文仿宋" w:eastAsia="仿宋_GB2312" w:cs="仿宋_GB2312"/>
          <w:color w:val="auto"/>
          <w:sz w:val="32"/>
          <w:szCs w:val="32"/>
          <w:highlight w:val="none"/>
          <w:lang w:val="en-US" w:eastAsia="zh-CN"/>
        </w:rPr>
        <w:t>后勤服务人员1人，</w:t>
      </w:r>
      <w:r>
        <w:rPr>
          <w:rFonts w:hint="eastAsia" w:ascii="仿宋_GB2312" w:hAnsi="华文仿宋" w:eastAsia="仿宋_GB2312" w:cs="仿宋_GB2312"/>
          <w:color w:val="auto"/>
          <w:sz w:val="32"/>
          <w:szCs w:val="32"/>
          <w:highlight w:val="none"/>
        </w:rPr>
        <w:t>退休人员2人。</w:t>
      </w:r>
    </w:p>
    <w:p w14:paraId="5B4C4F8D">
      <w:pPr>
        <w:keepNext w:val="0"/>
        <w:keepLines w:val="0"/>
        <w:pageBreakBefore w:val="0"/>
        <w:widowControl w:val="0"/>
        <w:kinsoku/>
        <w:wordWrap/>
        <w:overflowPunct/>
        <w:topLinePunct w:val="0"/>
        <w:autoSpaceDE/>
        <w:autoSpaceDN/>
        <w:bidi w:val="0"/>
        <w:adjustRightInd/>
        <w:spacing w:line="580" w:lineRule="exact"/>
        <w:ind w:left="0" w:right="0" w:firstLine="640" w:firstLineChars="200"/>
        <w:rPr>
          <w:rFonts w:hint="eastAsia" w:ascii="仿宋_GB2312" w:eastAsia="仿宋_GB2312"/>
          <w:color w:val="auto"/>
          <w:sz w:val="32"/>
          <w:szCs w:val="32"/>
        </w:rPr>
      </w:pPr>
      <w:r>
        <w:rPr>
          <w:rFonts w:hint="eastAsia" w:ascii="仿宋_GB2312" w:eastAsia="仿宋_GB2312"/>
          <w:color w:val="auto"/>
          <w:sz w:val="32"/>
          <w:szCs w:val="32"/>
          <w:highlight w:val="none"/>
        </w:rPr>
        <w:t>部门职能：</w:t>
      </w:r>
      <w:r>
        <w:rPr>
          <w:rFonts w:hint="eastAsia" w:ascii="仿宋_GB2312" w:hAnsi="华文仿宋" w:eastAsia="仿宋_GB2312" w:cs="仿宋_GB2312"/>
          <w:color w:val="auto"/>
          <w:sz w:val="32"/>
          <w:szCs w:val="32"/>
          <w:highlight w:val="none"/>
        </w:rPr>
        <w:t>麻章区残疾人联合会</w:t>
      </w:r>
      <w:r>
        <w:rPr>
          <w:rFonts w:hint="eastAsia" w:ascii="仿宋_GB2312" w:eastAsia="仿宋_GB2312"/>
          <w:color w:val="auto"/>
          <w:sz w:val="32"/>
          <w:szCs w:val="32"/>
          <w:highlight w:val="none"/>
        </w:rPr>
        <w:t>是中国残疾人联合会的地方组织，是将残疾人自身代表组织、社会福利团体和事业管理机构融为一体的残疾人事业团体，具有“代表、服务、管理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职能，</w:t>
      </w:r>
      <w:r>
        <w:rPr>
          <w:rFonts w:hint="eastAsia" w:ascii="仿宋_GB2312" w:eastAsia="仿宋_GB2312"/>
          <w:color w:val="auto"/>
          <w:sz w:val="32"/>
          <w:szCs w:val="32"/>
        </w:rPr>
        <w:t>由</w:t>
      </w:r>
      <w:r>
        <w:rPr>
          <w:rFonts w:hint="eastAsia" w:ascii="仿宋_GB2312" w:eastAsia="仿宋_GB2312"/>
          <w:color w:val="auto"/>
          <w:sz w:val="32"/>
          <w:szCs w:val="32"/>
          <w:lang w:val="en-US" w:eastAsia="zh-CN"/>
        </w:rPr>
        <w:t>党委</w:t>
      </w:r>
      <w:r>
        <w:rPr>
          <w:rFonts w:hint="eastAsia" w:ascii="仿宋_GB2312" w:eastAsia="仿宋_GB2312"/>
          <w:color w:val="auto"/>
          <w:sz w:val="32"/>
          <w:szCs w:val="32"/>
          <w:highlight w:val="none"/>
          <w:lang w:val="en-US" w:eastAsia="zh-CN"/>
        </w:rPr>
        <w:t>、</w:t>
      </w:r>
      <w:r>
        <w:rPr>
          <w:rFonts w:hint="eastAsia" w:ascii="仿宋_GB2312" w:eastAsia="仿宋_GB2312"/>
          <w:color w:val="auto"/>
          <w:sz w:val="32"/>
          <w:szCs w:val="32"/>
          <w:highlight w:val="none"/>
        </w:rPr>
        <w:t>政府领导，</w:t>
      </w:r>
      <w:r>
        <w:rPr>
          <w:rFonts w:hint="eastAsia" w:ascii="仿宋_GB2312" w:eastAsia="仿宋_GB2312"/>
          <w:color w:val="auto"/>
          <w:sz w:val="32"/>
          <w:szCs w:val="32"/>
        </w:rPr>
        <w:t>业务上接受上级残疾人联合会指导。其机关主要职责是：（一）贯彻执行国家有关残疾人工作的方针、政策和法规，协助政府研究、制订和实施残疾人事业的地方规范性文件，对相关业务领域进行指导和管理。（二）听取残疾人意见，反映残疾人事业需求，维护残疾人合法权益，全心全意为残疾人服务。（三）团结、教育残疾人遵纪守法，履行应尽的义务，发扬乐观进取精神，自尊、自信、自强、自立，为社会主义建设贡献力量。（四）弘扬人道主义，宣传残疾人事业，沟通政府、社会与残疾人之间的联系，动员社会理解、尊重、关心、帮助残疾人。（五）开展和促进残疾人的康复、教育、劳动就业、扶贫、文化、体育、科研、用品用具供应、福利、社会服务、无障碍设施和残疾预防等工作，创造良好的环境和条件，扶助残疾人平等参与社会生活</w:t>
      </w:r>
      <w:r>
        <w:rPr>
          <w:rFonts w:hint="eastAsia" w:ascii="仿宋_GB2312" w:eastAsia="仿宋_GB2312"/>
          <w:color w:val="auto"/>
          <w:sz w:val="32"/>
          <w:szCs w:val="32"/>
          <w:highlight w:val="none"/>
        </w:rPr>
        <w:t>。（六）承担区人民政府残疾</w:t>
      </w:r>
      <w:r>
        <w:rPr>
          <w:rFonts w:hint="eastAsia" w:ascii="仿宋_GB2312" w:eastAsia="仿宋_GB2312"/>
          <w:color w:val="auto"/>
          <w:sz w:val="32"/>
          <w:szCs w:val="32"/>
          <w:highlight w:val="none"/>
          <w:lang w:val="en-US" w:eastAsia="zh-CN"/>
        </w:rPr>
        <w:t>人</w:t>
      </w:r>
      <w:r>
        <w:rPr>
          <w:rFonts w:hint="eastAsia" w:ascii="仿宋_GB2312" w:eastAsia="仿宋_GB2312"/>
          <w:color w:val="auto"/>
          <w:sz w:val="32"/>
          <w:szCs w:val="32"/>
          <w:highlight w:val="none"/>
        </w:rPr>
        <w:t>工作委员会的日常工作。（七）监督</w:t>
      </w:r>
      <w:r>
        <w:rPr>
          <w:rFonts w:hint="eastAsia" w:ascii="仿宋_GB2312" w:eastAsia="仿宋_GB2312"/>
          <w:color w:val="auto"/>
          <w:sz w:val="32"/>
          <w:szCs w:val="32"/>
        </w:rPr>
        <w:t>和管理各类残疾人社团组织。（八）承办区委、区人民政府和上级残疾人联合会交办的其他任务。</w:t>
      </w:r>
    </w:p>
    <w:p w14:paraId="6EEED240">
      <w:pPr>
        <w:keepNext w:val="0"/>
        <w:keepLines w:val="0"/>
        <w:pageBreakBefore w:val="0"/>
        <w:widowControl w:val="0"/>
        <w:kinsoku/>
        <w:wordWrap/>
        <w:overflowPunct/>
        <w:topLinePunct w:val="0"/>
        <w:autoSpaceDE/>
        <w:autoSpaceDN/>
        <w:bidi w:val="0"/>
        <w:adjustRightInd/>
        <w:spacing w:line="580" w:lineRule="exact"/>
        <w:ind w:left="0" w:right="0" w:firstLine="643" w:firstLineChars="200"/>
        <w:rPr>
          <w:rFonts w:hint="default"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rPr>
        <w:t>（二）</w:t>
      </w:r>
      <w:r>
        <w:rPr>
          <w:rFonts w:hint="eastAsia" w:ascii="楷体_GB2312" w:hAnsi="楷体_GB2312" w:eastAsia="楷体_GB2312" w:cs="楷体_GB2312"/>
          <w:b/>
          <w:bCs/>
          <w:color w:val="auto"/>
          <w:sz w:val="32"/>
          <w:szCs w:val="32"/>
          <w:highlight w:val="none"/>
          <w:lang w:val="en-US" w:eastAsia="zh-CN"/>
        </w:rPr>
        <w:t>年度</w:t>
      </w:r>
      <w:r>
        <w:rPr>
          <w:rFonts w:hint="eastAsia" w:ascii="楷体_GB2312" w:hAnsi="楷体_GB2312" w:eastAsia="楷体_GB2312" w:cs="楷体_GB2312"/>
          <w:b/>
          <w:bCs/>
          <w:color w:val="auto"/>
          <w:sz w:val="32"/>
          <w:szCs w:val="32"/>
          <w:highlight w:val="none"/>
        </w:rPr>
        <w:t>总体工作</w:t>
      </w:r>
      <w:r>
        <w:rPr>
          <w:rFonts w:hint="eastAsia" w:ascii="楷体_GB2312" w:hAnsi="楷体_GB2312" w:eastAsia="楷体_GB2312" w:cs="楷体_GB2312"/>
          <w:b/>
          <w:bCs/>
          <w:color w:val="auto"/>
          <w:sz w:val="32"/>
          <w:szCs w:val="32"/>
          <w:highlight w:val="none"/>
          <w:lang w:val="en-US" w:eastAsia="zh-CN"/>
        </w:rPr>
        <w:t>和重点任务</w:t>
      </w:r>
    </w:p>
    <w:p w14:paraId="018B5B45">
      <w:pPr>
        <w:keepNext w:val="0"/>
        <w:keepLines w:val="0"/>
        <w:pageBreakBefore w:val="0"/>
        <w:widowControl w:val="0"/>
        <w:kinsoku/>
        <w:wordWrap/>
        <w:overflowPunct/>
        <w:topLinePunct w:val="0"/>
        <w:autoSpaceDE/>
        <w:autoSpaceDN/>
        <w:bidi w:val="0"/>
        <w:adjustRightInd/>
        <w:spacing w:line="580" w:lineRule="exact"/>
        <w:ind w:left="0" w:right="0" w:firstLine="800" w:firstLineChars="250"/>
        <w:rPr>
          <w:rFonts w:hint="eastAsia" w:ascii="仿宋_GB2312" w:hAnsi="仿宋_GB2312" w:eastAsia="仿宋_GB2312" w:cs="仿宋_GB2312"/>
          <w:color w:val="auto"/>
          <w:sz w:val="32"/>
          <w:szCs w:val="32"/>
          <w:highlight w:val="yellow"/>
          <w:shd w:val="clear" w:color="auto" w:fill="FFFFFF"/>
        </w:rPr>
      </w:pPr>
      <w:r>
        <w:rPr>
          <w:rFonts w:hint="eastAsia" w:ascii="仿宋_GB2312" w:hAnsi="仿宋_GB2312" w:eastAsia="仿宋_GB2312" w:cs="仿宋_GB2312"/>
          <w:color w:val="auto"/>
          <w:sz w:val="32"/>
          <w:szCs w:val="32"/>
          <w:shd w:val="clear" w:color="auto" w:fill="FFFFFF"/>
        </w:rPr>
        <w:t>2024年，我会全面学习贯彻党的二十大和二十届三中全会精神，认真落实区委、区府和市残联工作部署，秉持以人为本理念，履行“代表、服务、管理”残疾人的职能，以落实惠民保障政策为重点，立足实际，创新发展，全面推进残疾人就业、康复、教育、乡村振兴、维权等工作。</w:t>
      </w:r>
    </w:p>
    <w:p w14:paraId="061306AB">
      <w:pPr>
        <w:keepNext w:val="0"/>
        <w:keepLines w:val="0"/>
        <w:pageBreakBefore w:val="0"/>
        <w:widowControl w:val="0"/>
        <w:kinsoku/>
        <w:wordWrap/>
        <w:overflowPunct/>
        <w:topLinePunct w:val="0"/>
        <w:autoSpaceDE/>
        <w:autoSpaceDN/>
        <w:bidi w:val="0"/>
        <w:adjustRightInd/>
        <w:spacing w:line="580" w:lineRule="exact"/>
        <w:ind w:left="0" w:right="0" w:firstLine="643" w:firstLineChars="200"/>
        <w:rPr>
          <w:rFonts w:ascii="仿宋_GB2312" w:hAnsi="仿宋_GB2312" w:eastAsia="仿宋_GB2312" w:cs="仿宋_GB2312"/>
          <w:color w:val="auto"/>
          <w:sz w:val="32"/>
          <w:szCs w:val="32"/>
          <w:highlight w:val="yellow"/>
        </w:rPr>
      </w:pPr>
      <w:r>
        <w:rPr>
          <w:rFonts w:hint="eastAsia" w:ascii="仿宋_GB2312" w:hAnsi="仿宋_GB2312" w:eastAsia="仿宋_GB2312" w:cs="仿宋_GB2312"/>
          <w:b/>
          <w:bCs/>
          <w:color w:val="auto"/>
          <w:kern w:val="0"/>
          <w:sz w:val="32"/>
          <w:szCs w:val="32"/>
          <w:lang w:val="en-US" w:eastAsia="zh-CN"/>
        </w:rPr>
        <w:t>1</w:t>
      </w:r>
      <w:r>
        <w:rPr>
          <w:rFonts w:hint="eastAsia" w:ascii="仿宋_GB2312" w:hAnsi="仿宋_GB2312" w:eastAsia="仿宋_GB2312" w:cs="仿宋_GB2312"/>
          <w:b/>
          <w:bCs/>
          <w:color w:val="auto"/>
          <w:kern w:val="0"/>
          <w:sz w:val="32"/>
          <w:szCs w:val="32"/>
        </w:rPr>
        <w:t>、强化组织建设，提升服务质效。一是</w:t>
      </w:r>
      <w:r>
        <w:rPr>
          <w:rFonts w:hint="eastAsia" w:ascii="仿宋_GB2312" w:hAnsi="仿宋_GB2312" w:eastAsia="仿宋_GB2312" w:cs="仿宋_GB2312"/>
          <w:color w:val="auto"/>
          <w:kern w:val="0"/>
          <w:sz w:val="32"/>
          <w:szCs w:val="32"/>
        </w:rPr>
        <w:t>我</w:t>
      </w:r>
      <w:r>
        <w:rPr>
          <w:rFonts w:hint="eastAsia" w:ascii="仿宋_GB2312" w:hAnsi="仿宋_GB2312" w:eastAsia="仿宋_GB2312" w:cs="仿宋_GB2312"/>
          <w:color w:val="auto"/>
          <w:sz w:val="32"/>
          <w:szCs w:val="32"/>
        </w:rPr>
        <w:t>会增加公务员编制1名</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公务员和事业编人员共增加3名</w:t>
      </w:r>
      <w:r>
        <w:rPr>
          <w:rFonts w:hint="eastAsia" w:ascii="仿宋_GB2312" w:hAnsi="仿宋_GB2312" w:eastAsia="仿宋_GB2312" w:cs="仿宋_GB2312"/>
          <w:color w:val="auto"/>
          <w:sz w:val="32"/>
          <w:szCs w:val="32"/>
        </w:rPr>
        <w:t>，均已到岗。</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b/>
          <w:bCs/>
          <w:color w:val="auto"/>
          <w:sz w:val="32"/>
          <w:szCs w:val="32"/>
        </w:rPr>
        <w:t>是</w:t>
      </w:r>
      <w:r>
        <w:rPr>
          <w:rFonts w:hint="eastAsia" w:ascii="仿宋_GB2312" w:hAnsi="仿宋_GB2312" w:eastAsia="仿宋_GB2312" w:cs="仿宋_GB2312"/>
          <w:color w:val="auto"/>
          <w:sz w:val="32"/>
          <w:szCs w:val="32"/>
        </w:rPr>
        <w:t>麻章区村级残疾人协会全部挂牌，建立起完善的基层服务网络，推动服务重心下移，使残疾人服务更贴近群众，共同构建起区、镇、村三级服务体系，提升麻章区残疾人服务水平，促进残疾人事业发展。</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b/>
          <w:bCs/>
          <w:color w:val="auto"/>
          <w:sz w:val="32"/>
          <w:szCs w:val="32"/>
        </w:rPr>
        <w:t>是</w:t>
      </w:r>
      <w:r>
        <w:rPr>
          <w:rFonts w:hint="eastAsia" w:ascii="仿宋_GB2312" w:hAnsi="仿宋_GB2312" w:eastAsia="仿宋_GB2312" w:cs="仿宋_GB2312"/>
          <w:color w:val="auto"/>
          <w:sz w:val="32"/>
          <w:szCs w:val="32"/>
        </w:rPr>
        <w:t>为发挥党建引领作用，由支部书记牵头党员、干部职工开展“承诺、亮诺、践诺、评诺”履职活动，进一步规范党员干部履职行为，促进机关党组织建设持续健康发展。</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b/>
          <w:bCs/>
          <w:color w:val="auto"/>
          <w:sz w:val="32"/>
          <w:szCs w:val="32"/>
        </w:rPr>
        <w:t>是</w:t>
      </w:r>
      <w:r>
        <w:rPr>
          <w:rFonts w:hint="eastAsia" w:ascii="仿宋_GB2312" w:hAnsi="仿宋_GB2312" w:eastAsia="仿宋_GB2312" w:cs="仿宋_GB2312"/>
          <w:color w:val="auto"/>
          <w:sz w:val="32"/>
          <w:szCs w:val="32"/>
        </w:rPr>
        <w:t>扩大志愿服务队伍。我会志愿者增加到11名，积极开展志愿服务活动20次。通过开展志愿服务活动，打造忠诚干净担当的高素质的残疾人事业干部队伍，做实做细“我为群众办实事”。</w:t>
      </w:r>
    </w:p>
    <w:p w14:paraId="0128E57F">
      <w:pPr>
        <w:pStyle w:val="7"/>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80" w:lineRule="exact"/>
        <w:ind w:left="0" w:right="0" w:firstLine="643" w:firstLineChars="200"/>
        <w:jc w:val="both"/>
        <w:textAlignment w:val="baseline"/>
        <w:rPr>
          <w:rFonts w:ascii="仿宋_GB2312" w:hAnsi="仿宋_GB2312" w:eastAsia="仿宋_GB2312" w:cs="仿宋_GB2312"/>
          <w:color w:val="auto"/>
          <w:kern w:val="2"/>
          <w:sz w:val="32"/>
          <w:szCs w:val="32"/>
        </w:rPr>
      </w:pPr>
      <w:r>
        <w:rPr>
          <w:rFonts w:hint="eastAsia" w:ascii="仿宋_GB2312" w:hAnsi="仿宋_GB2312" w:eastAsia="仿宋_GB2312" w:cs="仿宋_GB2312"/>
          <w:b/>
          <w:bCs/>
          <w:color w:val="auto"/>
          <w:kern w:val="0"/>
          <w:sz w:val="32"/>
          <w:szCs w:val="32"/>
          <w:lang w:val="en-US" w:eastAsia="zh-CN" w:bidi="ar-SA"/>
        </w:rPr>
        <w:t>2、精准施策，力促康复服务。</w:t>
      </w:r>
      <w:r>
        <w:rPr>
          <w:rFonts w:hint="eastAsia" w:ascii="仿宋_GB2312" w:hAnsi="仿宋_GB2312" w:eastAsia="仿宋_GB2312" w:cs="仿宋_GB2312"/>
          <w:b/>
          <w:bCs/>
          <w:color w:val="auto"/>
          <w:kern w:val="2"/>
          <w:sz w:val="32"/>
          <w:szCs w:val="32"/>
        </w:rPr>
        <w:t>一是</w:t>
      </w:r>
      <w:r>
        <w:rPr>
          <w:rFonts w:hint="eastAsia" w:ascii="仿宋_GB2312" w:hAnsi="仿宋_GB2312" w:eastAsia="仿宋_GB2312" w:cs="仿宋_GB2312"/>
          <w:color w:val="auto"/>
          <w:kern w:val="2"/>
          <w:sz w:val="32"/>
          <w:szCs w:val="32"/>
        </w:rPr>
        <w:t>开展“全国爱耳日”、“全国助残日”、“残疾预防日”等线下宣传活动。现场设立义诊咨询台和政策咨询台，</w:t>
      </w:r>
      <w:r>
        <w:rPr>
          <w:rFonts w:hint="eastAsia" w:ascii="仿宋_GB2312" w:hAnsi="仿宋_GB2312" w:eastAsia="仿宋_GB2312" w:cs="仿宋_GB2312"/>
          <w:color w:val="auto"/>
          <w:sz w:val="32"/>
          <w:szCs w:val="32"/>
        </w:rPr>
        <w:t>共计300余人接受义诊咨询，发放宣传册近500余份</w:t>
      </w:r>
      <w:r>
        <w:rPr>
          <w:rFonts w:hint="eastAsia" w:ascii="仿宋_GB2312" w:hAnsi="仿宋_GB2312" w:eastAsia="仿宋_GB2312" w:cs="仿宋_GB2312"/>
          <w:color w:val="auto"/>
          <w:sz w:val="32"/>
          <w:szCs w:val="32"/>
          <w:shd w:val="clear" w:color="auto" w:fill="FFFFFF"/>
        </w:rPr>
        <w:t>，有力地推进普及听力障碍预防措施和相关法律法规。</w:t>
      </w:r>
      <w:r>
        <w:rPr>
          <w:rFonts w:hint="eastAsia" w:ascii="仿宋_GB2312" w:hAnsi="仿宋_GB2312" w:eastAsia="仿宋_GB2312" w:cs="仿宋_GB2312"/>
          <w:b/>
          <w:bCs/>
          <w:color w:val="auto"/>
          <w:sz w:val="32"/>
          <w:szCs w:val="32"/>
          <w:shd w:val="clear" w:color="auto" w:fill="FFFFFF"/>
        </w:rPr>
        <w:t>二是</w:t>
      </w:r>
      <w:r>
        <w:rPr>
          <w:rFonts w:hint="eastAsia" w:ascii="仿宋_GB2312" w:hAnsi="仿宋_GB2312" w:eastAsia="仿宋_GB2312" w:cs="仿宋_GB2312"/>
          <w:color w:val="auto"/>
          <w:sz w:val="32"/>
          <w:szCs w:val="32"/>
          <w:shd w:val="clear" w:color="auto" w:fill="FFFFFF"/>
        </w:rPr>
        <w:t>加强严重精神障碍患者救治工作。每月为260余名精神障碍患者免费发放药物</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shd w:val="clear" w:color="auto" w:fill="FFFFFF"/>
        </w:rPr>
        <w:t>9月3日，经区政府工作会议研究同意，于2025年1月起，由区卫健局牵头负责全区严重精神障碍患者居家救治救助工作。</w:t>
      </w:r>
      <w:r>
        <w:rPr>
          <w:rFonts w:hint="eastAsia" w:ascii="仿宋_GB2312" w:hAnsi="仿宋_GB2312" w:eastAsia="仿宋_GB2312" w:cs="仿宋_GB2312"/>
          <w:b/>
          <w:bCs/>
          <w:color w:val="auto"/>
          <w:sz w:val="32"/>
          <w:szCs w:val="32"/>
          <w:shd w:val="clear" w:color="auto" w:fill="FFFFFF"/>
        </w:rPr>
        <w:t>三是</w:t>
      </w:r>
      <w:r>
        <w:rPr>
          <w:rFonts w:hint="eastAsia" w:ascii="仿宋_GB2312" w:hAnsi="仿宋_GB2312" w:eastAsia="仿宋_GB2312" w:cs="仿宋_GB2312"/>
          <w:color w:val="auto"/>
          <w:sz w:val="32"/>
          <w:szCs w:val="32"/>
        </w:rPr>
        <w:t>开展0-6岁康复性救助。定点儿童康复机构全年接受康复儿童总</w:t>
      </w:r>
      <w:r>
        <w:rPr>
          <w:rFonts w:hint="eastAsia" w:ascii="仿宋_GB2312" w:hAnsi="仿宋_GB2312" w:eastAsia="仿宋_GB2312" w:cs="仿宋_GB2312"/>
          <w:color w:val="auto"/>
          <w:sz w:val="32"/>
          <w:szCs w:val="32"/>
          <w:lang w:val="en-US" w:eastAsia="zh-CN"/>
        </w:rPr>
        <w:t>共</w:t>
      </w:r>
      <w:r>
        <w:rPr>
          <w:rFonts w:hint="eastAsia" w:ascii="仿宋_GB2312" w:hAnsi="仿宋_GB2312" w:eastAsia="仿宋_GB2312" w:cs="仿宋_GB2312"/>
          <w:color w:val="auto"/>
          <w:sz w:val="32"/>
          <w:szCs w:val="32"/>
        </w:rPr>
        <w:t>有20名，其中15名为异地</w:t>
      </w:r>
      <w:r>
        <w:rPr>
          <w:rFonts w:hint="eastAsia" w:ascii="仿宋_GB2312" w:hAnsi="仿宋_GB2312" w:eastAsia="仿宋_GB2312" w:cs="仿宋_GB2312"/>
          <w:color w:val="auto"/>
          <w:sz w:val="32"/>
          <w:szCs w:val="32"/>
          <w:lang w:val="en-US" w:eastAsia="zh-CN"/>
        </w:rPr>
        <w:t>转介</w:t>
      </w:r>
      <w:r>
        <w:rPr>
          <w:rFonts w:hint="eastAsia" w:ascii="仿宋_GB2312" w:hAnsi="仿宋_GB2312" w:eastAsia="仿宋_GB2312" w:cs="仿宋_GB2312"/>
          <w:color w:val="auto"/>
          <w:sz w:val="32"/>
          <w:szCs w:val="32"/>
        </w:rPr>
        <w:t>对象。每人每月（1年按10月计算）补助2000元。经过干预，部分儿童的身体功能得到明显改善，语言表达与社交能力有所提升。</w:t>
      </w:r>
      <w:r>
        <w:rPr>
          <w:rFonts w:hint="eastAsia" w:ascii="仿宋_GB2312" w:hAnsi="仿宋_GB2312" w:eastAsia="仿宋_GB2312" w:cs="仿宋_GB2312"/>
          <w:b/>
          <w:bCs/>
          <w:color w:val="auto"/>
          <w:sz w:val="32"/>
          <w:szCs w:val="32"/>
        </w:rPr>
        <w:t>四是</w:t>
      </w:r>
      <w:r>
        <w:rPr>
          <w:rFonts w:hint="eastAsia" w:ascii="仿宋_GB2312" w:hAnsi="仿宋_GB2312" w:eastAsia="仿宋_GB2312" w:cs="仿宋_GB2312"/>
          <w:color w:val="auto"/>
          <w:kern w:val="2"/>
          <w:sz w:val="32"/>
          <w:szCs w:val="32"/>
        </w:rPr>
        <w:t>免费发放残疾人辅助器具。今年为80名有需求的残疾人免费发放辅具。通过以上举措,进一步改善了残疾人生活质量。</w:t>
      </w:r>
    </w:p>
    <w:p w14:paraId="67CCDC59">
      <w:pPr>
        <w:keepNext w:val="0"/>
        <w:keepLines w:val="0"/>
        <w:pageBreakBefore w:val="0"/>
        <w:widowControl w:val="0"/>
        <w:kinsoku/>
        <w:wordWrap/>
        <w:overflowPunct/>
        <w:topLinePunct w:val="0"/>
        <w:autoSpaceDE/>
        <w:autoSpaceDN/>
        <w:bidi w:val="0"/>
        <w:adjustRightInd/>
        <w:spacing w:line="580" w:lineRule="exact"/>
        <w:ind w:left="0" w:right="0"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SA"/>
        </w:rPr>
        <w:t>3、助残共富，广拓就业渠道。</w:t>
      </w: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抓康园中心规范化建设，提高残疾人融入社会的能力。根据十届区委第三轮巡察整改要求，积极对辖区内康园中心进行督查整改“回头看”，进一步加强社区康园中心日常管理和规范运作。</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走访10家用人单位，动员残疾人参加招聘会，3人达成用工协议；为10名残疾人登记求职，推荐4人入职。</w:t>
      </w:r>
      <w:r>
        <w:rPr>
          <w:rFonts w:hint="eastAsia" w:ascii="仿宋_GB2312" w:hAnsi="仿宋_GB2312" w:eastAsia="仿宋_GB2312" w:cs="仿宋_GB2312"/>
          <w:b/>
          <w:bCs/>
          <w:color w:val="auto"/>
          <w:sz w:val="32"/>
          <w:szCs w:val="32"/>
        </w:rPr>
        <w:t>三是</w:t>
      </w:r>
      <w:r>
        <w:rPr>
          <w:rFonts w:hint="eastAsia" w:ascii="仿宋_GB2312" w:hAnsi="仿宋_GB2312" w:eastAsia="仿宋_GB2312" w:cs="仿宋_GB2312"/>
          <w:color w:val="auto"/>
          <w:sz w:val="32"/>
          <w:szCs w:val="32"/>
        </w:rPr>
        <w:t>举办2期农村残疾人实用技术培训班，任务数73人，实际完成75人，完成比例103%，进一步促进残疾人就业创业。</w:t>
      </w:r>
      <w:r>
        <w:rPr>
          <w:rFonts w:hint="eastAsia" w:ascii="仿宋_GB2312" w:hAnsi="仿宋_GB2312" w:eastAsia="仿宋_GB2312" w:cs="仿宋_GB2312"/>
          <w:b/>
          <w:bCs/>
          <w:color w:val="auto"/>
          <w:sz w:val="32"/>
          <w:szCs w:val="32"/>
        </w:rPr>
        <w:t>四是</w:t>
      </w:r>
      <w:r>
        <w:rPr>
          <w:rFonts w:hint="eastAsia" w:ascii="仿宋_GB2312" w:hAnsi="仿宋_GB2312" w:eastAsia="仿宋_GB2312" w:cs="仿宋_GB2312"/>
          <w:color w:val="auto"/>
          <w:sz w:val="32"/>
          <w:szCs w:val="32"/>
        </w:rPr>
        <w:t>年审92家机关、企事业单位，促进企业招聘残疾人402人，解决部分残疾人就业，提高他们收入水平。</w:t>
      </w:r>
    </w:p>
    <w:p w14:paraId="46C36680">
      <w:pPr>
        <w:keepNext w:val="0"/>
        <w:keepLines w:val="0"/>
        <w:pageBreakBefore w:val="0"/>
        <w:widowControl w:val="0"/>
        <w:kinsoku/>
        <w:wordWrap/>
        <w:overflowPunct/>
        <w:topLinePunct w:val="0"/>
        <w:autoSpaceDE/>
        <w:autoSpaceDN/>
        <w:bidi w:val="0"/>
        <w:adjustRightInd/>
        <w:spacing w:line="580" w:lineRule="exact"/>
        <w:ind w:left="0" w:right="0"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SA"/>
        </w:rPr>
        <w:t>4、聚焦民生，完善服务体系。</w:t>
      </w: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协助区民政局发放两项补贴共72106人次，其中审核低保残疾人生活补贴21562人次；审核重度、精神、智力三、四级残疾人重度护理补贴50544人次。</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今年共办理新办证、变更、到期换领、重评等业务的残疾人证共461本，跨省通办异地办理的业务已办结12件，注销残疾人证199本。</w:t>
      </w:r>
      <w:r>
        <w:rPr>
          <w:rFonts w:hint="eastAsia" w:ascii="仿宋_GB2312" w:hAnsi="仿宋_GB2312" w:eastAsia="仿宋_GB2312" w:cs="仿宋_GB2312"/>
          <w:b/>
          <w:bCs/>
          <w:color w:val="auto"/>
          <w:sz w:val="32"/>
          <w:szCs w:val="32"/>
        </w:rPr>
        <w:t>三是</w:t>
      </w:r>
      <w:r>
        <w:rPr>
          <w:rFonts w:hint="eastAsia" w:ascii="仿宋_GB2312" w:hAnsi="仿宋_GB2312" w:eastAsia="仿宋_GB2312" w:cs="仿宋_GB2312"/>
          <w:color w:val="auto"/>
          <w:sz w:val="32"/>
          <w:szCs w:val="32"/>
        </w:rPr>
        <w:t>我会联合广东省农垦中心医院开展上门评残服务活动三场，共服务94人。</w:t>
      </w:r>
      <w:r>
        <w:rPr>
          <w:rFonts w:hint="eastAsia" w:ascii="仿宋_GB2312" w:hAnsi="仿宋_GB2312" w:eastAsia="仿宋_GB2312" w:cs="仿宋_GB2312"/>
          <w:b/>
          <w:bCs/>
          <w:color w:val="auto"/>
          <w:sz w:val="32"/>
          <w:szCs w:val="32"/>
        </w:rPr>
        <w:t>四是</w:t>
      </w:r>
      <w:r>
        <w:rPr>
          <w:rFonts w:hint="eastAsia" w:ascii="仿宋_GB2312" w:hAnsi="仿宋_GB2312" w:eastAsia="仿宋_GB2312" w:cs="仿宋_GB2312"/>
          <w:color w:val="auto"/>
          <w:sz w:val="32"/>
          <w:szCs w:val="32"/>
        </w:rPr>
        <w:t>完成63户贫困重度残疾人家庭无障碍改造工作，大大改善残疾人生活环境。</w:t>
      </w:r>
      <w:r>
        <w:rPr>
          <w:rFonts w:hint="eastAsia" w:ascii="仿宋_GB2312" w:hAnsi="仿宋_GB2312" w:eastAsia="仿宋_GB2312" w:cs="仿宋_GB2312"/>
          <w:b/>
          <w:bCs/>
          <w:color w:val="auto"/>
          <w:sz w:val="32"/>
          <w:szCs w:val="32"/>
        </w:rPr>
        <w:t>五是</w:t>
      </w:r>
      <w:r>
        <w:rPr>
          <w:rFonts w:hint="eastAsia" w:ascii="仿宋_GB2312" w:hAnsi="仿宋_GB2312" w:eastAsia="仿宋_GB2312" w:cs="仿宋_GB2312"/>
          <w:color w:val="auto"/>
          <w:sz w:val="32"/>
          <w:szCs w:val="32"/>
        </w:rPr>
        <w:t>完成全区残疾人基本状况信息采集工作。调查对象底册人数5161人，入户调查率100%。做到科学管理残疾人事务、精准服务残疾人、全面推进残疾人小康进程建设。</w:t>
      </w:r>
    </w:p>
    <w:p w14:paraId="748245A3">
      <w:pPr>
        <w:keepNext w:val="0"/>
        <w:keepLines w:val="0"/>
        <w:pageBreakBefore w:val="0"/>
        <w:widowControl w:val="0"/>
        <w:tabs>
          <w:tab w:val="left" w:pos="2520"/>
        </w:tabs>
        <w:kinsoku/>
        <w:wordWrap/>
        <w:overflowPunct/>
        <w:topLinePunct w:val="0"/>
        <w:autoSpaceDE/>
        <w:autoSpaceDN/>
        <w:bidi w:val="0"/>
        <w:adjustRightInd/>
        <w:spacing w:line="580" w:lineRule="exact"/>
        <w:ind w:left="0" w:right="0"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SA"/>
        </w:rPr>
        <w:t>5、情系残疾，落实帮扶行动。</w:t>
      </w: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坚持春节及助残日慰问贫困残疾人。春节慰问203户贫困残疾人、3间康园中心和区特校，为他们送上慰问金和慰问品共148600元；助残日期间慰问150户残疾人、区特校和2间康园中心，为他们送上慰问金38500元。</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坚持做好爱心助学工作。与广东狮子会中湛服务队紧密合作，建立长效助学机制。1月29日，扶助残疾人家庭学生31名，发放助学金9.3万元。</w:t>
      </w:r>
      <w:r>
        <w:rPr>
          <w:rFonts w:hint="eastAsia" w:ascii="仿宋_GB2312" w:hAnsi="仿宋_GB2312" w:eastAsia="仿宋_GB2312" w:cs="仿宋_GB2312"/>
          <w:b/>
          <w:bCs/>
          <w:color w:val="auto"/>
          <w:sz w:val="32"/>
          <w:szCs w:val="32"/>
          <w:highlight w:val="none"/>
        </w:rPr>
        <w:t>三是</w:t>
      </w:r>
      <w:r>
        <w:rPr>
          <w:rFonts w:hint="eastAsia" w:ascii="仿宋_GB2312" w:hAnsi="仿宋_GB2312" w:eastAsia="仿宋_GB2312" w:cs="仿宋_GB2312"/>
          <w:color w:val="auto"/>
          <w:sz w:val="32"/>
          <w:szCs w:val="32"/>
          <w:highlight w:val="none"/>
        </w:rPr>
        <w:t>助力</w:t>
      </w:r>
      <w:r>
        <w:rPr>
          <w:rFonts w:hint="eastAsia" w:ascii="仿宋_GB2312" w:hAnsi="仿宋_GB2312" w:eastAsia="仿宋_GB2312" w:cs="仿宋_GB2312"/>
          <w:color w:val="auto"/>
          <w:sz w:val="32"/>
          <w:szCs w:val="32"/>
          <w:highlight w:val="none"/>
          <w:lang w:val="en-US" w:eastAsia="zh-CN"/>
        </w:rPr>
        <w:t>7名</w:t>
      </w:r>
      <w:r>
        <w:rPr>
          <w:rFonts w:hint="eastAsia" w:ascii="仿宋_GB2312" w:hAnsi="仿宋_GB2312" w:eastAsia="仿宋_GB2312" w:cs="仿宋_GB2312"/>
          <w:color w:val="auto"/>
          <w:sz w:val="32"/>
          <w:szCs w:val="32"/>
          <w:highlight w:val="none"/>
        </w:rPr>
        <w:t>残疾大学生做好</w:t>
      </w:r>
      <w:bookmarkStart w:id="0" w:name="_GoBack"/>
      <w:bookmarkEnd w:id="0"/>
      <w:r>
        <w:rPr>
          <w:rFonts w:hint="eastAsia" w:ascii="仿宋_GB2312" w:hAnsi="仿宋_GB2312" w:eastAsia="仿宋_GB2312" w:cs="仿宋_GB2312"/>
          <w:color w:val="auto"/>
          <w:sz w:val="32"/>
          <w:szCs w:val="32"/>
          <w:highlight w:val="none"/>
        </w:rPr>
        <w:t>“南粤助残”申请手续</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总受资助8.5万元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rPr>
        <w:t>四是</w:t>
      </w:r>
      <w:r>
        <w:rPr>
          <w:rFonts w:hint="eastAsia" w:ascii="仿宋_GB2312" w:hAnsi="仿宋_GB2312" w:eastAsia="仿宋_GB2312" w:cs="仿宋_GB2312"/>
          <w:color w:val="auto"/>
          <w:sz w:val="32"/>
          <w:szCs w:val="32"/>
        </w:rPr>
        <w:t>今年3月份起，开展“关爱月访”残疾人专项行动。区、镇残联所有工作人员以及五个专门协会的主席、副主席一对一关爱服务残疾人家庭，共联系28户。截止至今，普法宣传67人次，政策跟踪落实75人次，关心关怀残疾人138人次。残疾人政策知晓率大幅提升，大大增强了残疾人的归属感与幸福感。12月31日，支部凭借“关爱月访”残疾人服务活动，在区直机关党组织“我为群众办实事”优秀案例评选活动中脱颖而出。该活动不仅切实解决了残疾人的实际困难，还创新服务模式、提升服务质量，最终以突出的成果与良好口碑荣获一等奖，有力地凸显了支部在服务群众、推动残疾人事业发展方面的先锋模范作用。</w:t>
      </w:r>
    </w:p>
    <w:p w14:paraId="252FE8C8">
      <w:pPr>
        <w:keepNext w:val="0"/>
        <w:keepLines w:val="0"/>
        <w:pageBreakBefore w:val="0"/>
        <w:widowControl w:val="0"/>
        <w:kinsoku/>
        <w:wordWrap/>
        <w:overflowPunct/>
        <w:topLinePunct w:val="0"/>
        <w:autoSpaceDE/>
        <w:autoSpaceDN/>
        <w:bidi w:val="0"/>
        <w:adjustRightInd/>
        <w:spacing w:line="580" w:lineRule="exact"/>
        <w:ind w:left="0" w:right="0"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SA"/>
        </w:rPr>
        <w:t>6、强抓信访维稳。</w:t>
      </w:r>
      <w:r>
        <w:rPr>
          <w:rFonts w:hint="eastAsia" w:ascii="仿宋_GB2312" w:hAnsi="仿宋_GB2312" w:eastAsia="仿宋_GB2312" w:cs="仿宋_GB2312"/>
          <w:color w:val="auto"/>
          <w:sz w:val="32"/>
          <w:szCs w:val="32"/>
        </w:rPr>
        <w:t>今年以来，共接待残疾人来访3起。</w:t>
      </w:r>
      <w:r>
        <w:rPr>
          <w:rFonts w:hint="eastAsia" w:ascii="仿宋" w:hAnsi="仿宋" w:eastAsia="仿宋" w:cs="仿宋"/>
          <w:color w:val="auto"/>
          <w:sz w:val="32"/>
          <w:szCs w:val="32"/>
        </w:rPr>
        <w:t>坚决将安全和信访隐患消除在萌芽状态，牢牢守住安全稳定底线，确保不发生残疾人越级上访、集体上访和非正常上访等事件，维护社会和谐稳定。</w:t>
      </w:r>
    </w:p>
    <w:p w14:paraId="5AF86E7F">
      <w:pPr>
        <w:keepNext w:val="0"/>
        <w:keepLines w:val="0"/>
        <w:pageBreakBefore w:val="0"/>
        <w:widowControl w:val="0"/>
        <w:kinsoku/>
        <w:wordWrap/>
        <w:overflowPunct/>
        <w:topLinePunct w:val="0"/>
        <w:autoSpaceDE/>
        <w:autoSpaceDN/>
        <w:bidi w:val="0"/>
        <w:adjustRightInd/>
        <w:spacing w:line="580" w:lineRule="exact"/>
        <w:ind w:left="0" w:right="0"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SA"/>
        </w:rPr>
        <w:t>7、主动支持挂点村乡村振兴工作。</w:t>
      </w:r>
      <w:r>
        <w:rPr>
          <w:rFonts w:hint="eastAsia" w:ascii="仿宋_GB2312" w:hAnsi="仿宋_GB2312" w:eastAsia="仿宋_GB2312" w:cs="仿宋_GB2312"/>
          <w:color w:val="auto"/>
          <w:sz w:val="32"/>
          <w:szCs w:val="32"/>
        </w:rPr>
        <w:t>从麻章区“乡村绿化”工程建设期间，积极推动挂点村（白水坡村）共种植了411棵不同种类的树苗，充分发挥了示范引领和辐射带动作用，共同建造“绿美麻章”。</w:t>
      </w:r>
    </w:p>
    <w:p w14:paraId="13F21F66">
      <w:pPr>
        <w:keepNext w:val="0"/>
        <w:keepLines w:val="0"/>
        <w:pageBreakBefore w:val="0"/>
        <w:widowControl w:val="0"/>
        <w:kinsoku/>
        <w:wordWrap/>
        <w:overflowPunct/>
        <w:topLinePunct w:val="0"/>
        <w:autoSpaceDE/>
        <w:autoSpaceDN/>
        <w:bidi w:val="0"/>
        <w:adjustRightInd/>
        <w:spacing w:line="580" w:lineRule="exact"/>
        <w:ind w:left="0" w:right="0"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SA"/>
        </w:rPr>
        <w:t>8、开展未成年人预防犯罪专项行动。</w:t>
      </w:r>
      <w:r>
        <w:rPr>
          <w:rFonts w:hint="eastAsia" w:ascii="仿宋_GB2312" w:hAnsi="仿宋_GB2312" w:eastAsia="仿宋_GB2312" w:cs="仿宋_GB2312"/>
          <w:color w:val="auto"/>
          <w:sz w:val="32"/>
          <w:szCs w:val="32"/>
        </w:rPr>
        <w:t>我会及时制定工作方案，成立领导小组，召开专题会议，统筹、指导、协调预防和治理未成年人违法犯罪有关工作。专项行动期间，及时研究解决工作中的重点难点问题，日常通过“关爱月访”、“平安夜访”等行动，积极做好救助工作以及法律宣传，切实保障未成年残疾人合法权益。</w:t>
      </w:r>
    </w:p>
    <w:p w14:paraId="0CD8C53B">
      <w:pPr>
        <w:keepNext w:val="0"/>
        <w:keepLines w:val="0"/>
        <w:pageBreakBefore w:val="0"/>
        <w:widowControl w:val="0"/>
        <w:kinsoku/>
        <w:wordWrap/>
        <w:overflowPunct/>
        <w:topLinePunct w:val="0"/>
        <w:autoSpaceDE/>
        <w:autoSpaceDN/>
        <w:bidi w:val="0"/>
        <w:adjustRightInd/>
        <w:spacing w:line="580" w:lineRule="exact"/>
        <w:ind w:left="0" w:right="0"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SA"/>
        </w:rPr>
        <w:t>9、推进“1+6+N平安夜访”提质增效。</w:t>
      </w:r>
      <w:r>
        <w:rPr>
          <w:rFonts w:hint="eastAsia" w:ascii="仿宋_GB2312" w:hAnsi="仿宋_GB2312" w:eastAsia="仿宋_GB2312" w:cs="仿宋_GB2312"/>
          <w:color w:val="auto"/>
          <w:sz w:val="32"/>
          <w:szCs w:val="32"/>
        </w:rPr>
        <w:t>我会班子成员根据区委平安办公室的安排，每周二晚或其它非夜访时间段到挂点村接访群众、深入现场调处，多次将法律知识送到群众家门口。</w:t>
      </w:r>
    </w:p>
    <w:p w14:paraId="33C7FC00">
      <w:pPr>
        <w:keepNext w:val="0"/>
        <w:keepLines w:val="0"/>
        <w:pageBreakBefore w:val="0"/>
        <w:widowControl w:val="0"/>
        <w:kinsoku/>
        <w:wordWrap/>
        <w:overflowPunct/>
        <w:topLinePunct w:val="0"/>
        <w:autoSpaceDE/>
        <w:autoSpaceDN/>
        <w:bidi w:val="0"/>
        <w:adjustRightInd/>
        <w:spacing w:line="580" w:lineRule="exact"/>
        <w:ind w:left="0" w:right="0"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SA"/>
        </w:rPr>
        <w:t>10、做好服务机构安全生产风险隐患排查整治工作。</w:t>
      </w:r>
      <w:r>
        <w:rPr>
          <w:rFonts w:hint="eastAsia" w:ascii="仿宋_GB2312" w:hAnsi="仿宋_GB2312" w:eastAsia="仿宋_GB2312" w:cs="仿宋_GB2312"/>
          <w:color w:val="auto"/>
          <w:sz w:val="32"/>
          <w:szCs w:val="32"/>
        </w:rPr>
        <w:t>今年我会印发《麻章区关于做好全区残联系统安全生产风险隐患排查整治工作的方案》等文件，多次以“四不两直”方式实地对康复设施、逃生安全出口等进行全面的安全检查，针对存在的问题和隐患，当面向机构负责人反馈意见，并要求及时落实整改。</w:t>
      </w:r>
    </w:p>
    <w:p w14:paraId="598370A6">
      <w:pPr>
        <w:keepNext w:val="0"/>
        <w:keepLines w:val="0"/>
        <w:pageBreakBefore w:val="0"/>
        <w:widowControl w:val="0"/>
        <w:kinsoku/>
        <w:wordWrap/>
        <w:overflowPunct/>
        <w:topLinePunct w:val="0"/>
        <w:autoSpaceDE/>
        <w:autoSpaceDN/>
        <w:bidi w:val="0"/>
        <w:adjustRightInd/>
        <w:spacing w:line="580" w:lineRule="exact"/>
        <w:ind w:left="0" w:right="0" w:firstLine="643" w:firstLineChars="200"/>
        <w:rPr>
          <w:rFonts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SA"/>
        </w:rPr>
        <w:t>11、开展“创文”工作。</w:t>
      </w:r>
      <w:r>
        <w:rPr>
          <w:rFonts w:hint="eastAsia" w:ascii="仿宋_GB2312" w:hAnsi="仿宋_GB2312" w:eastAsia="仿宋_GB2312" w:cs="仿宋_GB2312"/>
          <w:color w:val="auto"/>
          <w:sz w:val="32"/>
          <w:szCs w:val="32"/>
        </w:rPr>
        <w:t>我会积极将创文工作与残疾人工作紧密结合起来，组织开展“点亮星星  爱不孤单”、“别样六一  童样精彩”等关爱孤独症儿童家庭主题活动；每季度开展老人防诈骗及信息交流无障碍建设讲座，助力老年人、残疾人共享智慧生活，有效地推动创文工作深入开展。</w:t>
      </w:r>
    </w:p>
    <w:p w14:paraId="1ABB5B1A">
      <w:pPr>
        <w:keepNext w:val="0"/>
        <w:keepLines w:val="0"/>
        <w:pageBreakBefore w:val="0"/>
        <w:widowControl w:val="0"/>
        <w:kinsoku/>
        <w:wordWrap/>
        <w:overflowPunct/>
        <w:topLinePunct w:val="0"/>
        <w:autoSpaceDE/>
        <w:autoSpaceDN/>
        <w:bidi w:val="0"/>
        <w:adjustRightInd/>
        <w:spacing w:line="580" w:lineRule="exact"/>
        <w:ind w:left="0" w:right="0"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kern w:val="0"/>
          <w:sz w:val="32"/>
          <w:szCs w:val="32"/>
          <w:lang w:val="en-US" w:eastAsia="zh-CN" w:bidi="ar-SA"/>
        </w:rPr>
        <w:t>12、积极推进普法宣传工作。</w:t>
      </w:r>
      <w:r>
        <w:rPr>
          <w:rFonts w:hint="eastAsia" w:ascii="仿宋_GB2312" w:hAnsi="仿宋_GB2312" w:eastAsia="仿宋_GB2312" w:cs="仿宋_GB2312"/>
          <w:color w:val="auto"/>
          <w:sz w:val="32"/>
          <w:szCs w:val="32"/>
        </w:rPr>
        <w:t>聚焦学习宣传贯彻党的二十大精神，积极推进法治建设，日常深入基层开展《宪法》《民法典》《残疾人保障法》《未成年人保护法》等法律宣传。12月3日我会进行“八五”普法述职，荣获优秀等次，充分展现了在法治建设方面的积极作为与卓越成效。</w:t>
      </w:r>
    </w:p>
    <w:p w14:paraId="1575F6CC">
      <w:pPr>
        <w:keepNext w:val="0"/>
        <w:keepLines w:val="0"/>
        <w:pageBreakBefore w:val="0"/>
        <w:widowControl w:val="0"/>
        <w:kinsoku/>
        <w:wordWrap/>
        <w:overflowPunct/>
        <w:topLinePunct w:val="0"/>
        <w:autoSpaceDE/>
        <w:autoSpaceDN/>
        <w:bidi w:val="0"/>
        <w:adjustRightInd/>
        <w:spacing w:line="580" w:lineRule="exact"/>
        <w:ind w:left="0" w:right="0" w:firstLine="643" w:firstLineChars="200"/>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eastAsia="zh-CN"/>
        </w:rPr>
        <w:t>（</w:t>
      </w:r>
      <w:r>
        <w:rPr>
          <w:rFonts w:hint="eastAsia" w:ascii="楷体_GB2312" w:hAnsi="楷体_GB2312" w:eastAsia="楷体_GB2312" w:cs="楷体_GB2312"/>
          <w:b/>
          <w:bCs/>
          <w:color w:val="auto"/>
          <w:sz w:val="32"/>
          <w:szCs w:val="32"/>
          <w:highlight w:val="none"/>
          <w:lang w:val="en-US" w:eastAsia="zh-CN"/>
        </w:rPr>
        <w:t>三）部门整体支出绩效目标</w:t>
      </w:r>
    </w:p>
    <w:p w14:paraId="3046C3F3">
      <w:pPr>
        <w:keepNext w:val="0"/>
        <w:keepLines w:val="0"/>
        <w:pageBreakBefore w:val="0"/>
        <w:widowControl w:val="0"/>
        <w:kinsoku/>
        <w:wordWrap/>
        <w:overflowPunct/>
        <w:topLinePunct w:val="0"/>
        <w:autoSpaceDE/>
        <w:autoSpaceDN/>
        <w:bidi w:val="0"/>
        <w:adjustRightInd/>
        <w:spacing w:line="580" w:lineRule="exact"/>
        <w:ind w:left="0" w:right="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2024年，根据我会年初工作计划，围绕市残联以及区委区政府的要求，积极发挥职能，更好为残疾人服务。绩效目标如下：</w:t>
      </w:r>
    </w:p>
    <w:p w14:paraId="1CF4520F">
      <w:pPr>
        <w:keepNext w:val="0"/>
        <w:keepLines w:val="0"/>
        <w:pageBreakBefore w:val="0"/>
        <w:widowControl w:val="0"/>
        <w:kinsoku/>
        <w:wordWrap/>
        <w:overflowPunct/>
        <w:topLinePunct w:val="0"/>
        <w:autoSpaceDE/>
        <w:autoSpaceDN/>
        <w:bidi w:val="0"/>
        <w:adjustRightInd/>
        <w:spacing w:line="580" w:lineRule="exact"/>
        <w:ind w:left="0" w:right="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1.为全区65名贫困智力、精神和重度残疾人进行评残补贴。</w:t>
      </w:r>
    </w:p>
    <w:p w14:paraId="6147D3EA">
      <w:pPr>
        <w:keepNext w:val="0"/>
        <w:keepLines w:val="0"/>
        <w:pageBreakBefore w:val="0"/>
        <w:widowControl w:val="0"/>
        <w:kinsoku/>
        <w:wordWrap/>
        <w:overflowPunct/>
        <w:topLinePunct w:val="0"/>
        <w:autoSpaceDE/>
        <w:autoSpaceDN/>
        <w:bidi w:val="0"/>
        <w:adjustRightInd/>
        <w:spacing w:line="580" w:lineRule="exact"/>
        <w:ind w:left="0" w:right="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2.为63户</w:t>
      </w:r>
      <w:r>
        <w:rPr>
          <w:rFonts w:hint="eastAsia" w:ascii="仿宋_GB2312" w:hAnsi="仿宋_GB2312" w:eastAsia="仿宋_GB2312" w:cs="仿宋_GB2312"/>
          <w:color w:val="auto"/>
          <w:sz w:val="32"/>
          <w:szCs w:val="32"/>
          <w:highlight w:val="none"/>
          <w:lang w:eastAsia="zh-CN"/>
        </w:rPr>
        <w:t>困难</w:t>
      </w:r>
      <w:r>
        <w:rPr>
          <w:rFonts w:hint="eastAsia" w:ascii="仿宋_GB2312" w:hAnsi="仿宋_GB2312" w:eastAsia="仿宋_GB2312" w:cs="仿宋_GB2312"/>
          <w:color w:val="auto"/>
          <w:sz w:val="32"/>
          <w:szCs w:val="32"/>
          <w:highlight w:val="none"/>
        </w:rPr>
        <w:t>重度残疾人进行家庭无障碍改造</w:t>
      </w:r>
      <w:r>
        <w:rPr>
          <w:rFonts w:hint="eastAsia" w:ascii="仿宋_GB2312" w:hAnsi="仿宋_GB2312" w:eastAsia="仿宋_GB2312" w:cs="仿宋_GB2312"/>
          <w:color w:val="auto"/>
          <w:sz w:val="32"/>
          <w:szCs w:val="32"/>
          <w:highlight w:val="none"/>
          <w:lang w:val="en-US" w:eastAsia="zh-CN"/>
        </w:rPr>
        <w:t>。</w:t>
      </w:r>
    </w:p>
    <w:p w14:paraId="1E5DD9E3">
      <w:pPr>
        <w:keepNext w:val="0"/>
        <w:keepLines w:val="0"/>
        <w:pageBreakBefore w:val="0"/>
        <w:widowControl w:val="0"/>
        <w:kinsoku/>
        <w:wordWrap/>
        <w:overflowPunct/>
        <w:topLinePunct w:val="0"/>
        <w:autoSpaceDE/>
        <w:autoSpaceDN/>
        <w:bidi w:val="0"/>
        <w:adjustRightInd/>
        <w:spacing w:line="580" w:lineRule="exact"/>
        <w:ind w:left="0" w:right="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3.保障已建社区康园中心的正常运转，为有需要的智力、精神和重度肢体残疾人提供托养服务。</w:t>
      </w:r>
    </w:p>
    <w:p w14:paraId="2D619FD0">
      <w:pPr>
        <w:keepNext w:val="0"/>
        <w:keepLines w:val="0"/>
        <w:pageBreakBefore w:val="0"/>
        <w:widowControl w:val="0"/>
        <w:kinsoku/>
        <w:wordWrap/>
        <w:overflowPunct/>
        <w:topLinePunct w:val="0"/>
        <w:autoSpaceDE/>
        <w:autoSpaceDN/>
        <w:bidi w:val="0"/>
        <w:adjustRightInd/>
        <w:spacing w:line="580" w:lineRule="exact"/>
        <w:ind w:left="0" w:right="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为</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名0-6岁残疾儿童提供全日制康复救助。</w:t>
      </w:r>
    </w:p>
    <w:p w14:paraId="36E35F7A">
      <w:pPr>
        <w:keepNext w:val="0"/>
        <w:keepLines w:val="0"/>
        <w:pageBreakBefore w:val="0"/>
        <w:widowControl w:val="0"/>
        <w:kinsoku/>
        <w:wordWrap/>
        <w:overflowPunct/>
        <w:topLinePunct w:val="0"/>
        <w:autoSpaceDE/>
        <w:autoSpaceDN/>
        <w:bidi w:val="0"/>
        <w:adjustRightInd/>
        <w:spacing w:line="580" w:lineRule="exact"/>
        <w:ind w:left="0" w:right="0"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5.为我区32名</w:t>
      </w:r>
      <w:r>
        <w:rPr>
          <w:rFonts w:hint="eastAsia" w:ascii="仿宋_GB2312" w:hAnsi="仿宋_GB2312" w:eastAsia="仿宋_GB2312" w:cs="仿宋_GB2312"/>
          <w:color w:val="auto"/>
          <w:sz w:val="32"/>
          <w:szCs w:val="32"/>
          <w:highlight w:val="none"/>
        </w:rPr>
        <w:t>符合条件</w:t>
      </w:r>
      <w:r>
        <w:rPr>
          <w:rFonts w:hint="eastAsia" w:ascii="仿宋_GB2312" w:hAnsi="仿宋_GB2312" w:eastAsia="仿宋_GB2312" w:cs="仿宋_GB2312"/>
          <w:color w:val="auto"/>
          <w:sz w:val="32"/>
          <w:szCs w:val="32"/>
          <w:highlight w:val="none"/>
          <w:lang w:val="en-US" w:eastAsia="zh-CN"/>
        </w:rPr>
        <w:t>的残疾人发放燃油补贴。</w:t>
      </w:r>
    </w:p>
    <w:p w14:paraId="326B9564">
      <w:pPr>
        <w:keepNext w:val="0"/>
        <w:keepLines w:val="0"/>
        <w:pageBreakBefore w:val="0"/>
        <w:widowControl w:val="0"/>
        <w:kinsoku/>
        <w:wordWrap/>
        <w:overflowPunct/>
        <w:topLinePunct w:val="0"/>
        <w:autoSpaceDE/>
        <w:autoSpaceDN/>
        <w:bidi w:val="0"/>
        <w:adjustRightInd/>
        <w:spacing w:line="580" w:lineRule="exact"/>
        <w:ind w:left="0" w:right="0" w:firstLine="640" w:firstLineChars="200"/>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6.为我区有需求的残疾人发放辅助器具。</w:t>
      </w:r>
    </w:p>
    <w:p w14:paraId="484C6AC3">
      <w:pPr>
        <w:keepNext w:val="0"/>
        <w:keepLines w:val="0"/>
        <w:pageBreakBefore w:val="0"/>
        <w:widowControl w:val="0"/>
        <w:kinsoku/>
        <w:wordWrap/>
        <w:overflowPunct/>
        <w:topLinePunct w:val="0"/>
        <w:autoSpaceDE/>
        <w:autoSpaceDN/>
        <w:bidi w:val="0"/>
        <w:adjustRightInd/>
        <w:spacing w:line="580" w:lineRule="exact"/>
        <w:ind w:left="0" w:right="0" w:firstLine="646" w:firstLineChars="201"/>
        <w:rPr>
          <w:rFonts w:hint="eastAsia" w:ascii="楷体_GB2312" w:hAnsi="华文仿宋" w:eastAsia="楷体_GB2312" w:cs="仿宋_GB2312"/>
          <w:b/>
          <w:color w:val="auto"/>
          <w:sz w:val="32"/>
          <w:szCs w:val="32"/>
        </w:rPr>
      </w:pPr>
      <w:r>
        <w:rPr>
          <w:rFonts w:hint="eastAsia" w:ascii="楷体_GB2312" w:hAnsi="华文仿宋" w:eastAsia="楷体_GB2312" w:cs="仿宋_GB2312"/>
          <w:b/>
          <w:color w:val="auto"/>
          <w:sz w:val="32"/>
          <w:szCs w:val="32"/>
        </w:rPr>
        <w:t>（</w:t>
      </w:r>
      <w:r>
        <w:rPr>
          <w:rFonts w:hint="eastAsia" w:ascii="楷体_GB2312" w:hAnsi="华文仿宋" w:eastAsia="楷体_GB2312" w:cs="仿宋_GB2312"/>
          <w:b/>
          <w:color w:val="auto"/>
          <w:sz w:val="32"/>
          <w:szCs w:val="32"/>
          <w:lang w:val="en-US" w:eastAsia="zh-CN"/>
        </w:rPr>
        <w:t>四</w:t>
      </w:r>
      <w:r>
        <w:rPr>
          <w:rFonts w:hint="eastAsia" w:ascii="楷体_GB2312" w:hAnsi="华文仿宋" w:eastAsia="楷体_GB2312" w:cs="仿宋_GB2312"/>
          <w:b/>
          <w:color w:val="auto"/>
          <w:sz w:val="32"/>
          <w:szCs w:val="32"/>
        </w:rPr>
        <w:t>）部门整体支出情况</w:t>
      </w:r>
    </w:p>
    <w:p w14:paraId="0158C161">
      <w:pPr>
        <w:keepNext w:val="0"/>
        <w:keepLines w:val="0"/>
        <w:pageBreakBefore w:val="0"/>
        <w:widowControl w:val="0"/>
        <w:kinsoku/>
        <w:wordWrap/>
        <w:overflowPunct/>
        <w:topLinePunct w:val="0"/>
        <w:autoSpaceDE/>
        <w:autoSpaceDN/>
        <w:bidi w:val="0"/>
        <w:adjustRightInd/>
        <w:spacing w:line="580" w:lineRule="exact"/>
        <w:ind w:left="0" w:right="0" w:firstLine="640" w:firstLineChars="200"/>
        <w:rPr>
          <w:rFonts w:hint="eastAsia" w:ascii="仿宋_GB2312" w:hAnsi="华文仿宋" w:eastAsia="仿宋_GB2312" w:cs="仿宋_GB2312"/>
          <w:color w:val="auto"/>
          <w:sz w:val="32"/>
          <w:szCs w:val="32"/>
        </w:rPr>
      </w:pPr>
      <w:r>
        <w:rPr>
          <w:rFonts w:hint="eastAsia" w:ascii="仿宋_GB2312" w:hAnsi="华文仿宋" w:eastAsia="仿宋_GB2312" w:cs="仿宋_GB2312"/>
          <w:color w:val="auto"/>
          <w:sz w:val="32"/>
          <w:szCs w:val="32"/>
        </w:rPr>
        <w:t>我会2024年收入总预算283.72万元，2024年总支出为282.51万元，基本支出120.99万元，其中人员经费支出117.57万元、公用经费支出3.42万元；项目支出161.51万元。本单位整体支出完成较好，总体按照年初批复的区财政预算和业务工作需要完成。</w:t>
      </w:r>
    </w:p>
    <w:p w14:paraId="0C0679CA">
      <w:pPr>
        <w:keepNext w:val="0"/>
        <w:keepLines w:val="0"/>
        <w:pageBreakBefore w:val="0"/>
        <w:widowControl w:val="0"/>
        <w:kinsoku/>
        <w:wordWrap/>
        <w:overflowPunct/>
        <w:topLinePunct w:val="0"/>
        <w:autoSpaceDE/>
        <w:autoSpaceDN/>
        <w:bidi w:val="0"/>
        <w:adjustRightInd/>
        <w:spacing w:line="580" w:lineRule="exact"/>
        <w:ind w:left="0" w:right="0" w:firstLine="643" w:firstLineChars="201"/>
        <w:jc w:val="left"/>
        <w:rPr>
          <w:rFonts w:hint="eastAsia" w:ascii="黑体" w:hAnsi="黑体" w:eastAsia="黑体" w:cs="仿宋_GB2312"/>
          <w:color w:val="auto"/>
          <w:kern w:val="0"/>
          <w:sz w:val="32"/>
          <w:szCs w:val="32"/>
        </w:rPr>
      </w:pPr>
      <w:r>
        <w:rPr>
          <w:rFonts w:hint="eastAsia" w:ascii="黑体" w:hAnsi="黑体" w:eastAsia="黑体" w:cs="仿宋_GB2312"/>
          <w:color w:val="auto"/>
          <w:kern w:val="0"/>
          <w:sz w:val="32"/>
          <w:szCs w:val="32"/>
        </w:rPr>
        <w:t>二、自评工作开展情况</w:t>
      </w:r>
    </w:p>
    <w:p w14:paraId="518F757C">
      <w:pPr>
        <w:widowControl/>
        <w:ind w:right="150" w:firstLine="646" w:firstLineChars="201"/>
        <w:jc w:val="left"/>
        <w:rPr>
          <w:rFonts w:hint="eastAsia" w:ascii="楷体_GB2312" w:hAnsi="华文仿宋" w:eastAsia="楷体_GB2312" w:cs="仿宋_GB2312"/>
          <w:b/>
          <w:color w:val="auto"/>
          <w:sz w:val="32"/>
          <w:szCs w:val="32"/>
          <w:lang w:val="en-US" w:eastAsia="zh-CN"/>
        </w:rPr>
      </w:pPr>
      <w:r>
        <w:rPr>
          <w:rFonts w:hint="eastAsia" w:ascii="楷体_GB2312" w:hAnsi="华文仿宋" w:eastAsia="楷体_GB2312" w:cs="仿宋_GB2312"/>
          <w:b/>
          <w:color w:val="auto"/>
          <w:sz w:val="32"/>
          <w:szCs w:val="32"/>
        </w:rPr>
        <w:t>（一）</w:t>
      </w:r>
      <w:r>
        <w:rPr>
          <w:rFonts w:hint="eastAsia" w:ascii="楷体_GB2312" w:hAnsi="华文仿宋" w:eastAsia="楷体_GB2312" w:cs="仿宋_GB2312"/>
          <w:b/>
          <w:color w:val="auto"/>
          <w:sz w:val="32"/>
          <w:szCs w:val="32"/>
          <w:lang w:val="en-US" w:eastAsia="zh-CN"/>
        </w:rPr>
        <w:t>评价小组情况。</w:t>
      </w:r>
      <w:r>
        <w:rPr>
          <w:rFonts w:hint="eastAsia" w:ascii="仿宋_GB2312" w:hAnsi="仿宋_GB2312" w:eastAsia="仿宋_GB2312" w:cs="仿宋_GB2312"/>
          <w:kern w:val="0"/>
          <w:sz w:val="32"/>
          <w:szCs w:val="32"/>
          <w:shd w:val="clear" w:color="auto" w:fill="FFFFFF"/>
          <w:lang w:bidi="ar"/>
        </w:rPr>
        <w:t>根据《麻章区财政局关于开展2025年区级财政资金绩效自评工作的通知》（湛麻财〔2025〕80号）</w:t>
      </w:r>
      <w:r>
        <w:rPr>
          <w:rFonts w:hint="eastAsia" w:ascii="仿宋_GB2312" w:hAnsi="华文仿宋" w:eastAsia="仿宋_GB2312" w:cs="仿宋_GB2312"/>
          <w:sz w:val="32"/>
          <w:szCs w:val="32"/>
        </w:rPr>
        <w:t>要求</w:t>
      </w:r>
      <w:r>
        <w:rPr>
          <w:rFonts w:hint="eastAsia" w:ascii="仿宋_GB2312" w:hAnsi="仿宋_GB2312" w:eastAsia="仿宋_GB2312" w:cs="仿宋_GB2312"/>
          <w:kern w:val="0"/>
          <w:sz w:val="32"/>
          <w:szCs w:val="32"/>
          <w:shd w:val="clear" w:color="auto" w:fill="FFFFFF"/>
          <w:lang w:bidi="ar"/>
        </w:rPr>
        <w:t>，为确保绩效自评工作顺利开展，成立麻章区残疾人联合会绩效评价自评工作领导小组，由理事长任组长，副理事长任副组长，办公室相关人员和财务人员任组员，全面落实对财政项目支出绩效评价自评工作的统一部署。</w:t>
      </w:r>
    </w:p>
    <w:p w14:paraId="487DB0CF">
      <w:pPr>
        <w:keepNext w:val="0"/>
        <w:keepLines w:val="0"/>
        <w:pageBreakBefore w:val="0"/>
        <w:widowControl w:val="0"/>
        <w:kinsoku/>
        <w:wordWrap/>
        <w:overflowPunct/>
        <w:topLinePunct w:val="0"/>
        <w:autoSpaceDE/>
        <w:autoSpaceDN/>
        <w:bidi w:val="0"/>
        <w:adjustRightInd/>
        <w:spacing w:line="580" w:lineRule="exact"/>
        <w:ind w:left="0" w:right="0" w:firstLine="646" w:firstLineChars="201"/>
        <w:jc w:val="left"/>
        <w:rPr>
          <w:rFonts w:hint="eastAsia" w:ascii="仿宋_GB2312" w:hAnsi="仿宋_GB2312" w:eastAsia="仿宋_GB2312" w:cs="仿宋_GB2312"/>
          <w:color w:val="auto"/>
          <w:kern w:val="0"/>
          <w:sz w:val="32"/>
          <w:szCs w:val="32"/>
          <w:shd w:val="clear" w:color="auto" w:fill="FFFFFF"/>
          <w:lang w:bidi="ar"/>
        </w:rPr>
      </w:pPr>
      <w:r>
        <w:rPr>
          <w:rFonts w:hint="eastAsia" w:ascii="楷体_GB2312" w:hAnsi="华文仿宋" w:eastAsia="楷体_GB2312" w:cs="仿宋_GB2312"/>
          <w:b/>
          <w:color w:val="auto"/>
          <w:sz w:val="32"/>
          <w:szCs w:val="32"/>
          <w:lang w:eastAsia="zh-CN"/>
        </w:rPr>
        <w:t>（</w:t>
      </w:r>
      <w:r>
        <w:rPr>
          <w:rFonts w:hint="eastAsia" w:ascii="楷体_GB2312" w:hAnsi="华文仿宋" w:eastAsia="楷体_GB2312" w:cs="仿宋_GB2312"/>
          <w:b/>
          <w:color w:val="auto"/>
          <w:sz w:val="32"/>
          <w:szCs w:val="32"/>
          <w:lang w:val="en-US" w:eastAsia="zh-CN"/>
        </w:rPr>
        <w:t>二</w:t>
      </w:r>
      <w:r>
        <w:rPr>
          <w:rFonts w:hint="eastAsia" w:ascii="楷体_GB2312" w:hAnsi="华文仿宋" w:eastAsia="楷体_GB2312" w:cs="仿宋_GB2312"/>
          <w:b/>
          <w:color w:val="auto"/>
          <w:sz w:val="32"/>
          <w:szCs w:val="32"/>
          <w:lang w:eastAsia="zh-CN"/>
        </w:rPr>
        <w:t>）</w:t>
      </w:r>
      <w:r>
        <w:rPr>
          <w:rFonts w:hint="eastAsia" w:ascii="楷体_GB2312" w:hAnsi="华文仿宋" w:eastAsia="楷体_GB2312" w:cs="仿宋_GB2312"/>
          <w:b/>
          <w:color w:val="auto"/>
          <w:sz w:val="32"/>
          <w:szCs w:val="32"/>
        </w:rPr>
        <w:t>自评工作过程。</w:t>
      </w:r>
      <w:r>
        <w:rPr>
          <w:rFonts w:hint="eastAsia" w:ascii="仿宋_GB2312" w:hAnsi="仿宋_GB2312" w:eastAsia="仿宋_GB2312" w:cs="仿宋_GB2312"/>
          <w:color w:val="auto"/>
          <w:kern w:val="0"/>
          <w:sz w:val="32"/>
          <w:szCs w:val="32"/>
          <w:shd w:val="clear" w:color="auto" w:fill="FFFFFF"/>
          <w:lang w:bidi="ar"/>
        </w:rPr>
        <w:t>此次自评工作以办公室人员为主，其他相关职能</w:t>
      </w:r>
      <w:r>
        <w:rPr>
          <w:rFonts w:hint="eastAsia" w:ascii="仿宋_GB2312" w:hAnsi="仿宋_GB2312" w:eastAsia="仿宋_GB2312" w:cs="仿宋_GB2312"/>
          <w:color w:val="auto"/>
          <w:kern w:val="0"/>
          <w:sz w:val="32"/>
          <w:szCs w:val="32"/>
          <w:shd w:val="clear" w:color="auto" w:fill="FFFFFF"/>
          <w:lang w:val="en-US" w:eastAsia="zh-CN" w:bidi="ar"/>
        </w:rPr>
        <w:t>股</w:t>
      </w:r>
      <w:r>
        <w:rPr>
          <w:rFonts w:hint="eastAsia" w:ascii="仿宋_GB2312" w:hAnsi="仿宋_GB2312" w:eastAsia="仿宋_GB2312" w:cs="仿宋_GB2312"/>
          <w:color w:val="auto"/>
          <w:kern w:val="0"/>
          <w:sz w:val="32"/>
          <w:szCs w:val="32"/>
          <w:shd w:val="clear" w:color="auto" w:fill="FFFFFF"/>
          <w:lang w:bidi="ar"/>
        </w:rPr>
        <w:t>室人员配合收集自评材料，经查阅、核实有关账务及项目等执行情况，对部门整体支出的“目标设定”的合理性、可行性、明确性，“预算配置”的合理性、科学性，“预算执行和管理”的合法性、完成性，“资产管理”的合法合规性</w:t>
      </w:r>
      <w:r>
        <w:rPr>
          <w:rFonts w:hint="eastAsia" w:ascii="仿宋_GB2312" w:hAnsi="仿宋_GB2312" w:eastAsia="仿宋_GB2312" w:cs="仿宋_GB2312"/>
          <w:color w:val="auto"/>
          <w:kern w:val="0"/>
          <w:sz w:val="32"/>
          <w:szCs w:val="32"/>
          <w:shd w:val="clear" w:color="auto" w:fill="FFFFFF"/>
          <w:lang w:eastAsia="zh-CN" w:bidi="ar"/>
        </w:rPr>
        <w:t>，</w:t>
      </w:r>
      <w:r>
        <w:rPr>
          <w:rFonts w:hint="eastAsia" w:ascii="仿宋_GB2312" w:hAnsi="仿宋_GB2312" w:eastAsia="仿宋_GB2312" w:cs="仿宋_GB2312"/>
          <w:color w:val="auto"/>
          <w:kern w:val="0"/>
          <w:sz w:val="32"/>
          <w:szCs w:val="32"/>
          <w:shd w:val="clear" w:color="auto" w:fill="FFFFFF"/>
          <w:lang w:bidi="ar"/>
        </w:rPr>
        <w:t>“履职产出和效果”的真实性、相关性等方面进行全面详细分析自评，填写相关自评表格，形成本评价报告。</w:t>
      </w:r>
    </w:p>
    <w:p w14:paraId="06022DC7">
      <w:pPr>
        <w:keepNext w:val="0"/>
        <w:keepLines w:val="0"/>
        <w:pageBreakBefore w:val="0"/>
        <w:widowControl w:val="0"/>
        <w:kinsoku/>
        <w:wordWrap/>
        <w:overflowPunct/>
        <w:topLinePunct w:val="0"/>
        <w:autoSpaceDE/>
        <w:autoSpaceDN/>
        <w:bidi w:val="0"/>
        <w:adjustRightInd/>
        <w:spacing w:line="580" w:lineRule="exact"/>
        <w:ind w:left="0" w:right="0" w:firstLine="646" w:firstLineChars="201"/>
        <w:jc w:val="left"/>
        <w:rPr>
          <w:rFonts w:hint="eastAsia" w:ascii="仿宋_GB2312" w:hAnsi="宋体" w:eastAsia="仿宋_GB2312" w:cs="仿宋_GB2312"/>
          <w:color w:val="auto"/>
          <w:sz w:val="32"/>
          <w:szCs w:val="32"/>
        </w:rPr>
      </w:pPr>
      <w:r>
        <w:rPr>
          <w:rFonts w:hint="eastAsia" w:ascii="楷体_GB2312" w:hAnsi="华文仿宋" w:eastAsia="楷体_GB2312" w:cs="仿宋_GB2312"/>
          <w:b/>
          <w:color w:val="auto"/>
          <w:sz w:val="32"/>
          <w:szCs w:val="32"/>
        </w:rPr>
        <w:t>（</w:t>
      </w:r>
      <w:r>
        <w:rPr>
          <w:rFonts w:hint="eastAsia" w:ascii="楷体_GB2312" w:hAnsi="华文仿宋" w:eastAsia="楷体_GB2312" w:cs="仿宋_GB2312"/>
          <w:b/>
          <w:color w:val="auto"/>
          <w:sz w:val="32"/>
          <w:szCs w:val="32"/>
          <w:lang w:val="en-US" w:eastAsia="zh-CN"/>
        </w:rPr>
        <w:t>三</w:t>
      </w:r>
      <w:r>
        <w:rPr>
          <w:rFonts w:hint="eastAsia" w:ascii="楷体_GB2312" w:hAnsi="华文仿宋" w:eastAsia="楷体_GB2312" w:cs="仿宋_GB2312"/>
          <w:b/>
          <w:color w:val="auto"/>
          <w:sz w:val="32"/>
          <w:szCs w:val="32"/>
        </w:rPr>
        <w:t>）自评材料报送时间及质量</w:t>
      </w:r>
      <w:r>
        <w:rPr>
          <w:rFonts w:hint="eastAsia" w:ascii="楷体_GB2312" w:hAnsi="华文仿宋" w:eastAsia="楷体_GB2312" w:cs="仿宋_GB2312"/>
          <w:b/>
          <w:color w:val="auto"/>
          <w:sz w:val="32"/>
          <w:szCs w:val="32"/>
          <w:lang w:eastAsia="zh-CN"/>
        </w:rPr>
        <w:t>。</w:t>
      </w:r>
      <w:r>
        <w:rPr>
          <w:rFonts w:hint="eastAsia" w:ascii="仿宋_GB2312" w:hAnsi="宋体" w:eastAsia="仿宋_GB2312" w:cs="仿宋_GB2312"/>
          <w:color w:val="auto"/>
          <w:sz w:val="32"/>
          <w:szCs w:val="32"/>
        </w:rPr>
        <w:t>通过资料收集、绩效评价、工作总结及撰写报告等几个阶段，认真、准确填写自评数据表，形成详实的自评报告，并在2025年8月20日之前按时完成自评工作。</w:t>
      </w:r>
      <w:r>
        <w:rPr>
          <w:rFonts w:hint="eastAsia" w:ascii="仿宋_GB2312" w:hAnsi="宋体" w:eastAsia="仿宋_GB2312" w:cs="仿宋_GB2312"/>
          <w:b/>
          <w:bCs/>
          <w:color w:val="auto"/>
          <w:sz w:val="32"/>
          <w:szCs w:val="32"/>
        </w:rPr>
        <w:t>我单位对所报送自评材料真实性、完整性、一致性、规范性负责。</w:t>
      </w:r>
    </w:p>
    <w:p w14:paraId="39DC4EED">
      <w:pPr>
        <w:keepNext w:val="0"/>
        <w:keepLines w:val="0"/>
        <w:pageBreakBefore w:val="0"/>
        <w:widowControl w:val="0"/>
        <w:numPr>
          <w:ilvl w:val="0"/>
          <w:numId w:val="0"/>
        </w:numPr>
        <w:kinsoku/>
        <w:wordWrap/>
        <w:overflowPunct/>
        <w:topLinePunct w:val="0"/>
        <w:autoSpaceDE/>
        <w:autoSpaceDN/>
        <w:bidi w:val="0"/>
        <w:adjustRightInd/>
        <w:spacing w:line="580" w:lineRule="exact"/>
        <w:ind w:left="0" w:right="0" w:firstLine="643" w:firstLineChars="200"/>
        <w:jc w:val="left"/>
        <w:rPr>
          <w:rFonts w:hint="eastAsia" w:ascii="仿宋_GB2312" w:hAnsi="宋体" w:eastAsia="仿宋_GB2312" w:cs="仿宋_GB2312"/>
          <w:color w:val="auto"/>
          <w:sz w:val="32"/>
          <w:szCs w:val="32"/>
          <w:highlight w:val="none"/>
        </w:rPr>
      </w:pPr>
      <w:r>
        <w:rPr>
          <w:rFonts w:hint="eastAsia" w:ascii="楷体_GB2312" w:hAnsi="华文仿宋" w:eastAsia="楷体_GB2312" w:cs="仿宋_GB2312"/>
          <w:b/>
          <w:color w:val="auto"/>
          <w:sz w:val="32"/>
          <w:szCs w:val="32"/>
          <w:highlight w:val="none"/>
        </w:rPr>
        <w:t>（</w:t>
      </w:r>
      <w:r>
        <w:rPr>
          <w:rFonts w:hint="eastAsia" w:ascii="楷体_GB2312" w:hAnsi="华文仿宋" w:eastAsia="楷体_GB2312" w:cs="仿宋_GB2312"/>
          <w:b/>
          <w:color w:val="auto"/>
          <w:sz w:val="32"/>
          <w:szCs w:val="32"/>
          <w:highlight w:val="none"/>
          <w:lang w:val="en-US" w:eastAsia="zh-CN"/>
        </w:rPr>
        <w:t>四</w:t>
      </w:r>
      <w:r>
        <w:rPr>
          <w:rFonts w:hint="eastAsia" w:ascii="楷体_GB2312" w:hAnsi="华文仿宋" w:eastAsia="楷体_GB2312" w:cs="仿宋_GB2312"/>
          <w:b/>
          <w:color w:val="auto"/>
          <w:sz w:val="32"/>
          <w:szCs w:val="32"/>
          <w:highlight w:val="none"/>
        </w:rPr>
        <w:t>）自评材料报送及公开一致情况</w:t>
      </w:r>
      <w:r>
        <w:rPr>
          <w:rFonts w:hint="eastAsia" w:ascii="楷体_GB2312" w:hAnsi="华文仿宋" w:eastAsia="楷体_GB2312" w:cs="仿宋_GB2312"/>
          <w:b/>
          <w:color w:val="auto"/>
          <w:sz w:val="32"/>
          <w:szCs w:val="32"/>
          <w:highlight w:val="none"/>
          <w:lang w:eastAsia="zh-CN"/>
        </w:rPr>
        <w:t>。</w:t>
      </w:r>
      <w:r>
        <w:rPr>
          <w:rFonts w:hint="eastAsia" w:ascii="仿宋_GB2312" w:hAnsi="宋体" w:eastAsia="仿宋_GB2312" w:cs="仿宋_GB2312"/>
          <w:color w:val="auto"/>
          <w:sz w:val="32"/>
          <w:szCs w:val="32"/>
          <w:highlight w:val="none"/>
        </w:rPr>
        <w:t>麻章区残疾人联合会所报送的自评报告、数据表、评分表与公开的自评报告、数据表、评分表一致。</w:t>
      </w:r>
    </w:p>
    <w:p w14:paraId="675435B5">
      <w:pPr>
        <w:keepNext w:val="0"/>
        <w:keepLines w:val="0"/>
        <w:pageBreakBefore w:val="0"/>
        <w:widowControl w:val="0"/>
        <w:kinsoku/>
        <w:wordWrap/>
        <w:overflowPunct/>
        <w:topLinePunct w:val="0"/>
        <w:autoSpaceDE/>
        <w:autoSpaceDN/>
        <w:bidi w:val="0"/>
        <w:adjustRightInd/>
        <w:spacing w:line="580" w:lineRule="exact"/>
        <w:ind w:left="0" w:right="0" w:firstLine="643" w:firstLineChars="201"/>
        <w:jc w:val="left"/>
        <w:rPr>
          <w:rFonts w:hint="eastAsia" w:ascii="黑体" w:hAnsi="黑体" w:eastAsia="黑体" w:cs="黑体"/>
          <w:bCs/>
          <w:color w:val="auto"/>
          <w:sz w:val="32"/>
          <w:szCs w:val="32"/>
        </w:rPr>
      </w:pPr>
      <w:r>
        <w:rPr>
          <w:rFonts w:hint="eastAsia" w:ascii="黑体" w:hAnsi="黑体" w:eastAsia="黑体" w:cs="黑体"/>
          <w:bCs/>
          <w:color w:val="auto"/>
          <w:sz w:val="32"/>
          <w:szCs w:val="32"/>
        </w:rPr>
        <w:t>三、绩效自评情况</w:t>
      </w:r>
    </w:p>
    <w:p w14:paraId="22F97BAB">
      <w:pPr>
        <w:keepNext w:val="0"/>
        <w:keepLines w:val="0"/>
        <w:pageBreakBefore w:val="0"/>
        <w:widowControl w:val="0"/>
        <w:kinsoku/>
        <w:wordWrap/>
        <w:overflowPunct/>
        <w:topLinePunct w:val="0"/>
        <w:autoSpaceDE/>
        <w:autoSpaceDN/>
        <w:bidi w:val="0"/>
        <w:adjustRightInd/>
        <w:spacing w:line="580" w:lineRule="exact"/>
        <w:ind w:left="0" w:right="0" w:firstLine="646" w:firstLineChars="201"/>
        <w:jc w:val="both"/>
        <w:rPr>
          <w:rFonts w:hint="eastAsia" w:ascii="仿宋_GB2312" w:hAnsi="仿宋_GB2312" w:eastAsia="仿宋_GB2312" w:cs="仿宋_GB2312"/>
          <w:color w:val="auto"/>
          <w:kern w:val="0"/>
          <w:sz w:val="32"/>
          <w:szCs w:val="32"/>
          <w:shd w:val="clear" w:color="auto" w:fill="FFFFFF"/>
          <w:lang w:bidi="ar"/>
        </w:rPr>
      </w:pPr>
      <w:r>
        <w:rPr>
          <w:rFonts w:hint="eastAsia" w:ascii="楷体_GB2312" w:hAnsi="楷体_GB2312" w:eastAsia="楷体_GB2312" w:cs="楷体_GB2312"/>
          <w:b/>
          <w:bCs/>
          <w:color w:val="auto"/>
          <w:sz w:val="32"/>
          <w:szCs w:val="32"/>
        </w:rPr>
        <w:t>（一）自评结果。</w:t>
      </w:r>
      <w:r>
        <w:rPr>
          <w:rFonts w:hint="eastAsia" w:ascii="仿宋_GB2312" w:hAnsi="仿宋_GB2312" w:eastAsia="仿宋_GB2312" w:cs="仿宋_GB2312"/>
          <w:color w:val="auto"/>
          <w:kern w:val="0"/>
          <w:sz w:val="32"/>
          <w:szCs w:val="32"/>
          <w:shd w:val="clear" w:color="auto" w:fill="FFFFFF"/>
          <w:lang w:bidi="ar"/>
        </w:rPr>
        <w:t>2024年，根据麻章区财政局通知要求，结合各项整体绩效自评指标的标准，对照实际情况开展自评，得出自评结果。</w:t>
      </w:r>
      <w:r>
        <w:rPr>
          <w:rFonts w:hint="eastAsia" w:ascii="仿宋_GB2312" w:hAnsi="宋体" w:eastAsia="仿宋_GB2312" w:cs="仿宋_GB2312"/>
          <w:color w:val="auto"/>
          <w:sz w:val="32"/>
          <w:szCs w:val="32"/>
        </w:rPr>
        <w:t>麻章区残疾人联合会</w:t>
      </w:r>
      <w:r>
        <w:rPr>
          <w:rFonts w:hint="eastAsia" w:ascii="仿宋_GB2312" w:hAnsi="仿宋_GB2312" w:eastAsia="仿宋_GB2312" w:cs="仿宋_GB2312"/>
          <w:color w:val="auto"/>
          <w:kern w:val="0"/>
          <w:sz w:val="32"/>
          <w:szCs w:val="32"/>
          <w:shd w:val="clear" w:color="auto" w:fill="FFFFFF"/>
          <w:lang w:bidi="ar"/>
        </w:rPr>
        <w:t>2024年整体支出自我绩效评价自评得分为97.5分，自评等级为优。</w:t>
      </w:r>
    </w:p>
    <w:p w14:paraId="796735B9">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leftChars="0" w:right="0"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二</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部门整体支出绩效指标分析。</w:t>
      </w:r>
    </w:p>
    <w:p w14:paraId="405B0A01">
      <w:pPr>
        <w:keepNext w:val="0"/>
        <w:keepLines w:val="0"/>
        <w:pageBreakBefore w:val="0"/>
        <w:widowControl w:val="0"/>
        <w:kinsoku/>
        <w:wordWrap/>
        <w:overflowPunct/>
        <w:topLinePunct w:val="0"/>
        <w:autoSpaceDE/>
        <w:autoSpaceDN/>
        <w:bidi w:val="0"/>
        <w:adjustRightInd/>
        <w:snapToGrid w:val="0"/>
        <w:spacing w:line="580" w:lineRule="exact"/>
        <w:ind w:left="0" w:right="0" w:firstLine="643"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1、预算编制情况包含预算编制及目标设置两方面内容。</w:t>
      </w:r>
    </w:p>
    <w:p w14:paraId="270819FD">
      <w:pPr>
        <w:keepNext w:val="0"/>
        <w:keepLines w:val="0"/>
        <w:pageBreakBefore w:val="0"/>
        <w:widowControl w:val="0"/>
        <w:kinsoku/>
        <w:wordWrap/>
        <w:overflowPunct/>
        <w:topLinePunct w:val="0"/>
        <w:autoSpaceDE/>
        <w:autoSpaceDN/>
        <w:bidi w:val="0"/>
        <w:adjustRightInd/>
        <w:spacing w:line="580" w:lineRule="exact"/>
        <w:ind w:left="0" w:right="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1</w:t>
      </w: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rPr>
        <w:t>预算编制。</w:t>
      </w:r>
      <w:r>
        <w:rPr>
          <w:rFonts w:hint="eastAsia" w:ascii="仿宋_GB2312" w:hAnsi="仿宋_GB2312" w:eastAsia="仿宋_GB2312" w:cs="仿宋_GB2312"/>
          <w:color w:val="auto"/>
          <w:kern w:val="0"/>
          <w:sz w:val="32"/>
          <w:szCs w:val="32"/>
        </w:rPr>
        <w:t>在合理性方面，预算编制符合</w:t>
      </w:r>
      <w:r>
        <w:rPr>
          <w:rFonts w:hint="eastAsia" w:ascii="仿宋_GB2312" w:hAnsi="宋体" w:eastAsia="仿宋_GB2312" w:cs="仿宋_GB2312"/>
          <w:color w:val="auto"/>
          <w:sz w:val="32"/>
          <w:szCs w:val="32"/>
        </w:rPr>
        <w:t>麻章区残疾人联合会</w:t>
      </w:r>
      <w:r>
        <w:rPr>
          <w:rFonts w:hint="eastAsia" w:ascii="仿宋_GB2312" w:hAnsi="仿宋_GB2312" w:eastAsia="仿宋_GB2312" w:cs="仿宋_GB2312"/>
          <w:color w:val="auto"/>
          <w:kern w:val="0"/>
          <w:sz w:val="32"/>
          <w:szCs w:val="32"/>
        </w:rPr>
        <w:t>部门职责，资金编制合理，未出现因调剂导致部门预决算差异过大的问题。预算的功能分类和经济分类编制准确，无大量调剂。预算分配不固化，能根据实际情况合理调整。在规范性方面，符合财政当年度有关预算编制的原则和要求。</w:t>
      </w:r>
    </w:p>
    <w:p w14:paraId="15F2D223">
      <w:pPr>
        <w:keepNext w:val="0"/>
        <w:keepLines w:val="0"/>
        <w:pageBreakBefore w:val="0"/>
        <w:widowControl w:val="0"/>
        <w:kinsoku/>
        <w:wordWrap/>
        <w:overflowPunct/>
        <w:topLinePunct w:val="0"/>
        <w:autoSpaceDE/>
        <w:autoSpaceDN/>
        <w:bidi w:val="0"/>
        <w:adjustRightInd/>
        <w:spacing w:line="580" w:lineRule="exact"/>
        <w:ind w:left="0" w:right="0" w:firstLine="640" w:firstLineChars="200"/>
        <w:rPr>
          <w:color w:val="auto"/>
          <w:szCs w:val="21"/>
        </w:rPr>
      </w:pPr>
      <w:r>
        <w:rPr>
          <w:rFonts w:hint="eastAsia" w:ascii="仿宋_GB2312" w:hAnsi="仿宋_GB2312" w:eastAsia="仿宋_GB2312" w:cs="仿宋_GB2312"/>
          <w:b w:val="0"/>
          <w:bCs w:val="0"/>
          <w:color w:val="auto"/>
          <w:kern w:val="0"/>
          <w:sz w:val="32"/>
          <w:szCs w:val="32"/>
          <w:lang w:eastAsia="zh-CN"/>
        </w:rPr>
        <w:t>（</w:t>
      </w:r>
      <w:r>
        <w:rPr>
          <w:rFonts w:hint="eastAsia" w:ascii="仿宋_GB2312" w:hAnsi="仿宋_GB2312" w:eastAsia="仿宋_GB2312" w:cs="仿宋_GB2312"/>
          <w:b w:val="0"/>
          <w:bCs w:val="0"/>
          <w:color w:val="auto"/>
          <w:kern w:val="0"/>
          <w:sz w:val="32"/>
          <w:szCs w:val="32"/>
          <w:lang w:val="en-US" w:eastAsia="zh-CN"/>
        </w:rPr>
        <w:t>2</w:t>
      </w:r>
      <w:r>
        <w:rPr>
          <w:rFonts w:hint="eastAsia" w:ascii="仿宋_GB2312" w:hAnsi="仿宋_GB2312" w:eastAsia="仿宋_GB2312" w:cs="仿宋_GB2312"/>
          <w:b w:val="0"/>
          <w:bCs w:val="0"/>
          <w:color w:val="auto"/>
          <w:kern w:val="0"/>
          <w:sz w:val="32"/>
          <w:szCs w:val="32"/>
          <w:lang w:eastAsia="zh-CN"/>
        </w:rPr>
        <w:t>）目标设置。</w:t>
      </w:r>
      <w:r>
        <w:rPr>
          <w:rFonts w:hint="eastAsia" w:ascii="仿宋_GB2312" w:hAnsi="仿宋_GB2312" w:eastAsia="仿宋_GB2312" w:cs="仿宋_GB2312"/>
          <w:color w:val="auto"/>
          <w:kern w:val="0"/>
          <w:sz w:val="32"/>
          <w:szCs w:val="32"/>
        </w:rPr>
        <w:t>2024年</w:t>
      </w:r>
      <w:r>
        <w:rPr>
          <w:rFonts w:hint="eastAsia" w:ascii="仿宋_GB2312" w:hAnsi="宋体" w:eastAsia="仿宋_GB2312" w:cs="仿宋_GB2312"/>
          <w:color w:val="auto"/>
          <w:sz w:val="32"/>
          <w:szCs w:val="32"/>
        </w:rPr>
        <w:t>麻章区残疾人联合会</w:t>
      </w:r>
      <w:r>
        <w:rPr>
          <w:rFonts w:hint="eastAsia" w:ascii="仿宋_GB2312" w:hAnsi="仿宋_GB2312" w:eastAsia="仿宋_GB2312" w:cs="仿宋_GB2312"/>
          <w:color w:val="auto"/>
          <w:kern w:val="0"/>
          <w:sz w:val="32"/>
          <w:szCs w:val="32"/>
        </w:rPr>
        <w:t>本级部门整体支出和项目支出预算，设置整体支出绩效目标与本年度部门预算资金相匹配。绩效目标中包含能够明确体现部门履职效果的社会经济效益指标，指标计算依据客观、充分、清晰可衡量。</w:t>
      </w:r>
    </w:p>
    <w:p w14:paraId="51DD01A8">
      <w:pPr>
        <w:keepNext w:val="0"/>
        <w:keepLines w:val="0"/>
        <w:pageBreakBefore w:val="0"/>
        <w:widowControl w:val="0"/>
        <w:kinsoku/>
        <w:wordWrap/>
        <w:overflowPunct/>
        <w:topLinePunct w:val="0"/>
        <w:autoSpaceDE/>
        <w:autoSpaceDN/>
        <w:bidi w:val="0"/>
        <w:adjustRightInd/>
        <w:snapToGrid w:val="0"/>
        <w:spacing w:line="580" w:lineRule="exact"/>
        <w:ind w:left="0" w:right="0"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2.预算执行情况。</w:t>
      </w:r>
    </w:p>
    <w:p w14:paraId="647AC87F">
      <w:pPr>
        <w:keepNext w:val="0"/>
        <w:keepLines w:val="0"/>
        <w:pageBreakBefore w:val="0"/>
        <w:widowControl w:val="0"/>
        <w:kinsoku/>
        <w:wordWrap/>
        <w:overflowPunct/>
        <w:topLinePunct w:val="0"/>
        <w:autoSpaceDE/>
        <w:autoSpaceDN/>
        <w:bidi w:val="0"/>
        <w:adjustRightInd/>
        <w:spacing w:line="580" w:lineRule="exact"/>
        <w:ind w:left="0" w:right="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预算执行情况主要</w:t>
      </w:r>
      <w:r>
        <w:rPr>
          <w:rFonts w:hint="eastAsia" w:ascii="仿宋_GB2312" w:hAnsi="仿宋_GB2312" w:eastAsia="仿宋_GB2312" w:cs="仿宋_GB2312"/>
          <w:color w:val="auto"/>
          <w:kern w:val="0"/>
          <w:sz w:val="32"/>
          <w:szCs w:val="32"/>
          <w:highlight w:val="none"/>
        </w:rPr>
        <w:t>涉及保障措施、支出管理、项目管理、资产管理、人员管理等方面的内容。</w:t>
      </w:r>
    </w:p>
    <w:p w14:paraId="208F4B45">
      <w:pPr>
        <w:keepNext w:val="0"/>
        <w:keepLines w:val="0"/>
        <w:pageBreakBefore w:val="0"/>
        <w:widowControl w:val="0"/>
        <w:kinsoku/>
        <w:wordWrap/>
        <w:overflowPunct/>
        <w:topLinePunct w:val="0"/>
        <w:autoSpaceDE/>
        <w:autoSpaceDN/>
        <w:bidi w:val="0"/>
        <w:adjustRightInd/>
        <w:spacing w:line="580" w:lineRule="exact"/>
        <w:ind w:left="0" w:right="0" w:firstLine="640" w:firstLineChars="20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1</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支出管理。</w:t>
      </w:r>
      <w:r>
        <w:rPr>
          <w:rFonts w:hint="eastAsia" w:ascii="仿宋_GB2312" w:hAnsi="仿宋_GB2312" w:eastAsia="仿宋_GB2312" w:cs="仿宋_GB2312"/>
          <w:color w:val="auto"/>
          <w:kern w:val="0"/>
          <w:sz w:val="32"/>
          <w:szCs w:val="32"/>
        </w:rPr>
        <w:t>我会建立各项管理制度。财政资金各项业务及开支均严格按照制度规范执行，各项资金支出按照省、市、区级及本单位制订的各项管理制度规范执行，会计核算按照核算制度规范执行，资金管理、费用标准等均符合制度规定，不虚列支出，不截留资金。会计核算执行会计核算制度，支出凭证符合规定。</w:t>
      </w:r>
    </w:p>
    <w:p w14:paraId="5727ED07">
      <w:pPr>
        <w:keepNext w:val="0"/>
        <w:keepLines w:val="0"/>
        <w:pageBreakBefore w:val="0"/>
        <w:widowControl w:val="0"/>
        <w:kinsoku/>
        <w:wordWrap/>
        <w:overflowPunct/>
        <w:topLinePunct w:val="0"/>
        <w:autoSpaceDE/>
        <w:autoSpaceDN/>
        <w:bidi w:val="0"/>
        <w:adjustRightInd/>
        <w:snapToGrid w:val="0"/>
        <w:spacing w:line="580" w:lineRule="exact"/>
        <w:ind w:left="0" w:right="0" w:firstLine="640" w:firstLineChars="200"/>
        <w:rPr>
          <w:rFonts w:hint="eastAsia" w:ascii="仿宋" w:hAnsi="仿宋" w:eastAsia="仿宋"/>
          <w:color w:val="auto"/>
          <w:kern w:val="0"/>
          <w:sz w:val="32"/>
          <w:szCs w:val="32"/>
        </w:rPr>
      </w:pPr>
      <w:r>
        <w:rPr>
          <w:rFonts w:hint="eastAsia" w:ascii="仿宋" w:hAnsi="仿宋" w:eastAsia="仿宋"/>
          <w:b w:val="0"/>
          <w:bCs w:val="0"/>
          <w:color w:val="auto"/>
          <w:kern w:val="0"/>
          <w:sz w:val="32"/>
          <w:szCs w:val="32"/>
        </w:rPr>
        <w:t>（</w:t>
      </w:r>
      <w:r>
        <w:rPr>
          <w:rFonts w:hint="eastAsia" w:ascii="仿宋" w:hAnsi="仿宋" w:eastAsia="仿宋"/>
          <w:b w:val="0"/>
          <w:bCs w:val="0"/>
          <w:color w:val="auto"/>
          <w:kern w:val="0"/>
          <w:sz w:val="32"/>
          <w:szCs w:val="32"/>
          <w:lang w:val="en-US" w:eastAsia="zh-CN"/>
        </w:rPr>
        <w:t>2</w:t>
      </w:r>
      <w:r>
        <w:rPr>
          <w:rFonts w:hint="eastAsia" w:ascii="仿宋" w:hAnsi="仿宋" w:eastAsia="仿宋"/>
          <w:b w:val="0"/>
          <w:bCs w:val="0"/>
          <w:color w:val="auto"/>
          <w:kern w:val="0"/>
          <w:sz w:val="32"/>
          <w:szCs w:val="32"/>
        </w:rPr>
        <w:t>）</w:t>
      </w:r>
      <w:r>
        <w:rPr>
          <w:rFonts w:hint="eastAsia" w:ascii="仿宋" w:hAnsi="仿宋" w:eastAsia="仿宋" w:cs="仿宋"/>
          <w:b w:val="0"/>
          <w:bCs w:val="0"/>
          <w:color w:val="auto"/>
          <w:kern w:val="0"/>
          <w:sz w:val="32"/>
          <w:szCs w:val="32"/>
        </w:rPr>
        <w:t>项目管理。</w:t>
      </w:r>
      <w:r>
        <w:rPr>
          <w:rFonts w:hint="eastAsia" w:ascii="仿宋_GB2312" w:hAnsi="仿宋_GB2312" w:eastAsia="仿宋_GB2312" w:cs="仿宋_GB2312"/>
          <w:color w:val="auto"/>
          <w:kern w:val="0"/>
          <w:sz w:val="32"/>
          <w:szCs w:val="32"/>
        </w:rPr>
        <w:t>我会项目经费严格按照本单位制订财务管理制度、政府采购办法、预算绩效管理办法及省市各项制度管理，项目的设立履行了报批手续，在项目的实施过程中，所有项目的实施均按照项目管理制度并严格执行。</w:t>
      </w:r>
    </w:p>
    <w:p w14:paraId="3D0D5816">
      <w:pPr>
        <w:keepNext w:val="0"/>
        <w:keepLines w:val="0"/>
        <w:pageBreakBefore w:val="0"/>
        <w:widowControl w:val="0"/>
        <w:kinsoku/>
        <w:wordWrap/>
        <w:overflowPunct/>
        <w:topLinePunct w:val="0"/>
        <w:autoSpaceDE/>
        <w:autoSpaceDN/>
        <w:bidi w:val="0"/>
        <w:adjustRightInd/>
        <w:snapToGrid w:val="0"/>
        <w:spacing w:line="580" w:lineRule="exact"/>
        <w:ind w:left="0" w:right="0" w:firstLine="640" w:firstLineChars="200"/>
        <w:rPr>
          <w:rFonts w:hint="eastAsia" w:ascii="仿宋_GB2312" w:hAnsi="仿宋_GB2312" w:eastAsia="仿宋_GB2312" w:cs="仿宋_GB2312"/>
          <w:color w:val="auto"/>
          <w:kern w:val="0"/>
          <w:sz w:val="32"/>
          <w:szCs w:val="32"/>
        </w:rPr>
      </w:pPr>
      <w:r>
        <w:rPr>
          <w:rFonts w:hint="eastAsia" w:ascii="仿宋" w:hAnsi="仿宋" w:eastAsia="仿宋"/>
          <w:b w:val="0"/>
          <w:bCs w:val="0"/>
          <w:color w:val="auto"/>
          <w:kern w:val="0"/>
          <w:sz w:val="32"/>
          <w:szCs w:val="32"/>
        </w:rPr>
        <w:t>（</w:t>
      </w:r>
      <w:r>
        <w:rPr>
          <w:rFonts w:hint="eastAsia" w:ascii="仿宋" w:hAnsi="仿宋" w:eastAsia="仿宋"/>
          <w:b w:val="0"/>
          <w:bCs w:val="0"/>
          <w:color w:val="auto"/>
          <w:kern w:val="0"/>
          <w:sz w:val="32"/>
          <w:szCs w:val="32"/>
          <w:lang w:val="en-US" w:eastAsia="zh-CN"/>
        </w:rPr>
        <w:t>3</w:t>
      </w:r>
      <w:r>
        <w:rPr>
          <w:rFonts w:hint="eastAsia" w:ascii="仿宋" w:hAnsi="仿宋" w:eastAsia="仿宋"/>
          <w:b w:val="0"/>
          <w:bCs w:val="0"/>
          <w:color w:val="auto"/>
          <w:kern w:val="0"/>
          <w:sz w:val="32"/>
          <w:szCs w:val="32"/>
        </w:rPr>
        <w:t>）资产管理。</w:t>
      </w:r>
      <w:r>
        <w:rPr>
          <w:rFonts w:hint="eastAsia" w:ascii="仿宋_GB2312" w:hAnsi="仿宋_GB2312" w:eastAsia="仿宋_GB2312" w:cs="仿宋_GB2312"/>
          <w:color w:val="auto"/>
          <w:kern w:val="0"/>
          <w:sz w:val="32"/>
          <w:szCs w:val="32"/>
        </w:rPr>
        <w:t>我会制订了《</w:t>
      </w:r>
      <w:r>
        <w:rPr>
          <w:rFonts w:hint="eastAsia" w:ascii="仿宋_GB2312" w:hAnsi="宋体" w:eastAsia="仿宋_GB2312" w:cs="仿宋_GB2312"/>
          <w:color w:val="auto"/>
          <w:sz w:val="32"/>
          <w:szCs w:val="32"/>
        </w:rPr>
        <w:t>麻章区残疾人联合会</w:t>
      </w:r>
      <w:r>
        <w:rPr>
          <w:rFonts w:hint="eastAsia" w:ascii="仿宋_GB2312" w:hAnsi="仿宋_GB2312" w:eastAsia="仿宋_GB2312" w:cs="仿宋_GB2312"/>
          <w:color w:val="auto"/>
          <w:kern w:val="0"/>
          <w:sz w:val="32"/>
          <w:szCs w:val="32"/>
        </w:rPr>
        <w:t>资产管理制度》和《</w:t>
      </w:r>
      <w:r>
        <w:rPr>
          <w:rFonts w:hint="eastAsia" w:ascii="仿宋_GB2312" w:hAnsi="宋体" w:eastAsia="仿宋_GB2312" w:cs="仿宋_GB2312"/>
          <w:color w:val="auto"/>
          <w:sz w:val="32"/>
          <w:szCs w:val="32"/>
        </w:rPr>
        <w:t>麻章区残疾人联合会</w:t>
      </w:r>
      <w:r>
        <w:rPr>
          <w:rFonts w:hint="eastAsia" w:ascii="仿宋_GB2312" w:hAnsi="仿宋_GB2312" w:eastAsia="仿宋_GB2312" w:cs="仿宋_GB2312"/>
          <w:color w:val="auto"/>
          <w:kern w:val="0"/>
          <w:sz w:val="32"/>
          <w:szCs w:val="32"/>
        </w:rPr>
        <w:t>国有资产管理内部控制制度》，目前没有发现相关固定资产问题，固定资产利用率达100%。</w:t>
      </w:r>
    </w:p>
    <w:p w14:paraId="7CC596F4">
      <w:pPr>
        <w:keepNext w:val="0"/>
        <w:keepLines w:val="0"/>
        <w:pageBreakBefore w:val="0"/>
        <w:widowControl w:val="0"/>
        <w:kinsoku/>
        <w:wordWrap/>
        <w:overflowPunct/>
        <w:topLinePunct w:val="0"/>
        <w:autoSpaceDE/>
        <w:autoSpaceDN/>
        <w:bidi w:val="0"/>
        <w:adjustRightInd/>
        <w:snapToGrid w:val="0"/>
        <w:spacing w:line="580" w:lineRule="exact"/>
        <w:ind w:left="0" w:right="0" w:firstLine="643" w:firstLineChars="200"/>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3.预算监督情况。</w:t>
      </w:r>
    </w:p>
    <w:p w14:paraId="4F04B4F7">
      <w:pPr>
        <w:keepNext w:val="0"/>
        <w:keepLines w:val="0"/>
        <w:pageBreakBefore w:val="0"/>
        <w:widowControl w:val="0"/>
        <w:kinsoku/>
        <w:wordWrap/>
        <w:overflowPunct/>
        <w:topLinePunct w:val="0"/>
        <w:autoSpaceDE/>
        <w:autoSpaceDN/>
        <w:bidi w:val="0"/>
        <w:adjustRightInd/>
        <w:snapToGrid w:val="0"/>
        <w:spacing w:line="580" w:lineRule="exact"/>
        <w:ind w:left="0" w:right="0" w:firstLine="640" w:firstLineChars="200"/>
        <w:rPr>
          <w:rFonts w:hint="eastAsia" w:ascii="仿宋_GB2312" w:hAnsi="仿宋_GB2312" w:eastAsia="仿宋_GB2312" w:cs="仿宋_GB2312"/>
          <w:bCs/>
          <w:color w:val="auto"/>
          <w:sz w:val="32"/>
          <w:szCs w:val="32"/>
        </w:rPr>
      </w:pPr>
      <w:r>
        <w:rPr>
          <w:rFonts w:hint="eastAsia" w:ascii="仿宋_GB2312" w:hAnsi="仿宋_GB2312" w:eastAsia="仿宋_GB2312" w:cs="仿宋_GB2312"/>
          <w:color w:val="auto"/>
          <w:kern w:val="0"/>
          <w:sz w:val="32"/>
          <w:szCs w:val="32"/>
        </w:rPr>
        <w:t>预算监督情况涉及信息公开，绩效自评方面的内容。我会按照《预算法》和政府信息公开有关规定在</w:t>
      </w:r>
      <w:r>
        <w:rPr>
          <w:rFonts w:hint="eastAsia" w:ascii="仿宋_GB2312" w:hAnsi="仿宋_GB2312" w:eastAsia="仿宋_GB2312" w:cs="仿宋_GB2312"/>
          <w:bCs/>
          <w:color w:val="auto"/>
          <w:sz w:val="32"/>
          <w:szCs w:val="32"/>
        </w:rPr>
        <w:t>麻章区政府门户网站公开自评材料（本单位无独立的门户网站），并保证报送区财政局的自评材料与公开信息一致。</w:t>
      </w:r>
    </w:p>
    <w:p w14:paraId="4FD9C346">
      <w:pPr>
        <w:keepNext w:val="0"/>
        <w:keepLines w:val="0"/>
        <w:pageBreakBefore w:val="0"/>
        <w:widowControl w:val="0"/>
        <w:kinsoku/>
        <w:wordWrap/>
        <w:overflowPunct/>
        <w:topLinePunct w:val="0"/>
        <w:autoSpaceDE/>
        <w:autoSpaceDN/>
        <w:bidi w:val="0"/>
        <w:adjustRightInd/>
        <w:snapToGrid w:val="0"/>
        <w:spacing w:line="580" w:lineRule="exact"/>
        <w:ind w:left="0" w:right="0" w:firstLine="842" w:firstLineChars="262"/>
        <w:rPr>
          <w:rFonts w:hint="eastAsia" w:ascii="仿宋_GB2312" w:hAnsi="仿宋_GB2312" w:eastAsia="仿宋_GB2312" w:cs="仿宋_GB2312"/>
          <w:b/>
          <w:bCs/>
          <w:color w:val="auto"/>
          <w:kern w:val="0"/>
          <w:sz w:val="32"/>
          <w:szCs w:val="32"/>
        </w:rPr>
      </w:pPr>
      <w:r>
        <w:rPr>
          <w:rFonts w:hint="eastAsia" w:ascii="仿宋_GB2312" w:hAnsi="仿宋_GB2312" w:eastAsia="仿宋_GB2312" w:cs="仿宋_GB2312"/>
          <w:b/>
          <w:bCs/>
          <w:color w:val="auto"/>
          <w:kern w:val="0"/>
          <w:sz w:val="32"/>
          <w:szCs w:val="32"/>
        </w:rPr>
        <w:t>4.预算使用效益。</w:t>
      </w:r>
    </w:p>
    <w:p w14:paraId="08872E5B">
      <w:pPr>
        <w:pStyle w:val="14"/>
        <w:keepNext w:val="0"/>
        <w:keepLines w:val="0"/>
        <w:pageBreakBefore w:val="0"/>
        <w:widowControl w:val="0"/>
        <w:kinsoku/>
        <w:wordWrap/>
        <w:overflowPunct/>
        <w:topLinePunct w:val="0"/>
        <w:autoSpaceDE/>
        <w:autoSpaceDN/>
        <w:bidi w:val="0"/>
        <w:adjustRightInd/>
        <w:spacing w:line="580" w:lineRule="exact"/>
        <w:ind w:left="0" w:right="0" w:firstLine="643"/>
        <w:rPr>
          <w:rFonts w:hint="eastAsia" w:ascii="仿宋" w:hAnsi="仿宋" w:eastAsia="仿宋" w:cs="楷体"/>
          <w:color w:val="auto"/>
          <w:sz w:val="32"/>
          <w:szCs w:val="32"/>
        </w:rPr>
      </w:pPr>
      <w:r>
        <w:rPr>
          <w:rFonts w:hint="eastAsia" w:ascii="仿宋" w:hAnsi="仿宋" w:eastAsia="仿宋"/>
          <w:b w:val="0"/>
          <w:bCs w:val="0"/>
          <w:color w:val="auto"/>
          <w:kern w:val="0"/>
          <w:sz w:val="32"/>
          <w:szCs w:val="32"/>
        </w:rPr>
        <w:t>（1）效率性。</w:t>
      </w:r>
      <w:r>
        <w:rPr>
          <w:rFonts w:hint="eastAsia" w:ascii="仿宋_GB2312" w:hAnsi="仿宋_GB2312" w:eastAsia="仿宋_GB2312" w:cs="仿宋_GB2312"/>
          <w:color w:val="auto"/>
          <w:sz w:val="32"/>
          <w:szCs w:val="32"/>
        </w:rPr>
        <w:t>我会整体绩效目标中的各项目标均全部完成,项目均在计划时间内完成。</w:t>
      </w:r>
    </w:p>
    <w:p w14:paraId="60957346">
      <w:pPr>
        <w:keepNext w:val="0"/>
        <w:keepLines w:val="0"/>
        <w:pageBreakBefore w:val="0"/>
        <w:widowControl w:val="0"/>
        <w:kinsoku/>
        <w:wordWrap/>
        <w:overflowPunct/>
        <w:topLinePunct w:val="0"/>
        <w:autoSpaceDE/>
        <w:autoSpaceDN/>
        <w:bidi w:val="0"/>
        <w:adjustRightInd/>
        <w:snapToGrid w:val="0"/>
        <w:spacing w:line="580" w:lineRule="exact"/>
        <w:ind w:left="0" w:right="0" w:firstLine="640" w:firstLineChars="200"/>
        <w:jc w:val="left"/>
        <w:rPr>
          <w:rFonts w:hint="eastAsia" w:ascii="仿宋_GB2312" w:hAnsi="仿宋_GB2312" w:eastAsia="仿宋_GB2312" w:cs="仿宋_GB2312"/>
          <w:color w:val="auto"/>
          <w:kern w:val="0"/>
          <w:sz w:val="32"/>
          <w:szCs w:val="32"/>
        </w:rPr>
      </w:pPr>
      <w:r>
        <w:rPr>
          <w:rFonts w:hint="eastAsia" w:ascii="仿宋" w:hAnsi="仿宋" w:eastAsia="仿宋"/>
          <w:b w:val="0"/>
          <w:bCs w:val="0"/>
          <w:color w:val="auto"/>
          <w:kern w:val="0"/>
          <w:sz w:val="32"/>
          <w:szCs w:val="32"/>
        </w:rPr>
        <w:t>（2）效果性。</w:t>
      </w:r>
      <w:r>
        <w:rPr>
          <w:rFonts w:hint="eastAsia" w:ascii="仿宋_GB2312" w:hAnsi="仿宋_GB2312" w:eastAsia="仿宋_GB2312" w:cs="仿宋_GB2312"/>
          <w:color w:val="auto"/>
          <w:kern w:val="0"/>
          <w:sz w:val="32"/>
          <w:szCs w:val="32"/>
        </w:rPr>
        <w:t xml:space="preserve">2024年我会较好完成了绩效目标任务，更好地为残疾人提供服务。   </w:t>
      </w:r>
    </w:p>
    <w:p w14:paraId="45D79B10">
      <w:pPr>
        <w:keepNext w:val="0"/>
        <w:keepLines w:val="0"/>
        <w:pageBreakBefore w:val="0"/>
        <w:widowControl w:val="0"/>
        <w:kinsoku/>
        <w:wordWrap/>
        <w:overflowPunct/>
        <w:topLinePunct w:val="0"/>
        <w:autoSpaceDE/>
        <w:autoSpaceDN/>
        <w:bidi w:val="0"/>
        <w:adjustRightInd/>
        <w:snapToGrid w:val="0"/>
        <w:spacing w:line="580" w:lineRule="exact"/>
        <w:ind w:left="0" w:right="0" w:firstLine="643" w:firstLineChars="200"/>
        <w:jc w:val="left"/>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三</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存在问题</w:t>
      </w:r>
    </w:p>
    <w:p w14:paraId="12C53BB3">
      <w:pPr>
        <w:keepNext w:val="0"/>
        <w:keepLines w:val="0"/>
        <w:pageBreakBefore w:val="0"/>
        <w:widowControl w:val="0"/>
        <w:kinsoku/>
        <w:wordWrap/>
        <w:overflowPunct/>
        <w:topLinePunct w:val="0"/>
        <w:autoSpaceDE/>
        <w:autoSpaceDN/>
        <w:bidi w:val="0"/>
        <w:adjustRightInd/>
        <w:snapToGrid w:val="0"/>
        <w:spacing w:line="580" w:lineRule="exact"/>
        <w:ind w:left="0" w:right="0" w:firstLine="800" w:firstLineChars="250"/>
        <w:rPr>
          <w:rFonts w:ascii="楷体_GB2312" w:hAnsi="楷体_GB2312" w:eastAsia="楷体_GB2312" w:cs="楷体_GB2312"/>
          <w:b/>
          <w:bCs/>
          <w:color w:val="auto"/>
          <w:sz w:val="32"/>
          <w:szCs w:val="32"/>
        </w:rPr>
      </w:pPr>
      <w:r>
        <w:rPr>
          <w:rFonts w:hint="eastAsia" w:ascii="仿宋_GB2312" w:hAnsi="仿宋_GB2312" w:eastAsia="仿宋_GB2312" w:cs="仿宋_GB2312"/>
          <w:color w:val="auto"/>
          <w:sz w:val="32"/>
          <w:szCs w:val="32"/>
        </w:rPr>
        <w:t>一年来，我会工作虽有成效，但仍存在一些问题。</w:t>
      </w: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b w:val="0"/>
          <w:bCs w:val="0"/>
          <w:color w:val="auto"/>
          <w:sz w:val="32"/>
          <w:szCs w:val="32"/>
          <w:lang w:val="en-US" w:eastAsia="zh-CN"/>
        </w:rPr>
        <w:t>由于财政困难，资金拨付不及时，项目完成后欠帐较多</w:t>
      </w:r>
      <w:r>
        <w:rPr>
          <w:rFonts w:hint="eastAsia" w:ascii="仿宋_GB2312" w:hAnsi="仿宋_GB2312" w:eastAsia="仿宋_GB2312" w:cs="仿宋_GB2312"/>
          <w:color w:val="auto"/>
          <w:sz w:val="32"/>
          <w:szCs w:val="32"/>
        </w:rPr>
        <w:t>。</w:t>
      </w:r>
    </w:p>
    <w:p w14:paraId="5B1C4CBD">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right="0" w:firstLine="643" w:firstLineChars="200"/>
        <w:rPr>
          <w:rFonts w:hint="eastAsia"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lang w:val="en-US" w:eastAsia="zh-CN"/>
        </w:rPr>
        <w:t>四</w:t>
      </w:r>
      <w:r>
        <w:rPr>
          <w:rFonts w:hint="eastAsia" w:ascii="楷体_GB2312" w:hAnsi="楷体_GB2312" w:eastAsia="楷体_GB2312" w:cs="楷体_GB2312"/>
          <w:b/>
          <w:bCs/>
          <w:color w:val="auto"/>
          <w:sz w:val="32"/>
          <w:szCs w:val="32"/>
          <w:lang w:eastAsia="zh-CN"/>
        </w:rPr>
        <w:t>）</w:t>
      </w:r>
      <w:r>
        <w:rPr>
          <w:rFonts w:hint="eastAsia" w:ascii="楷体_GB2312" w:hAnsi="楷体_GB2312" w:eastAsia="楷体_GB2312" w:cs="楷体_GB2312"/>
          <w:b/>
          <w:bCs/>
          <w:color w:val="auto"/>
          <w:sz w:val="32"/>
          <w:szCs w:val="32"/>
        </w:rPr>
        <w:t>改进措施</w:t>
      </w:r>
    </w:p>
    <w:p w14:paraId="10487BD6">
      <w:pPr>
        <w:pStyle w:val="8"/>
        <w:keepNext w:val="0"/>
        <w:keepLines w:val="0"/>
        <w:pageBreakBefore w:val="0"/>
        <w:widowControl w:val="0"/>
        <w:kinsoku/>
        <w:wordWrap/>
        <w:overflowPunct/>
        <w:topLinePunct w:val="0"/>
        <w:autoSpaceDE/>
        <w:autoSpaceDN/>
        <w:bidi w:val="0"/>
        <w:adjustRightInd/>
        <w:spacing w:after="0" w:line="580" w:lineRule="exact"/>
        <w:ind w:left="0" w:leftChars="0" w:right="0" w:firstLine="640" w:firstLineChars="200"/>
        <w:rPr>
          <w:rFonts w:hint="eastAsia" w:ascii="仿宋_GB2312" w:hAnsi="仿宋_GB2312" w:eastAsia="仿宋_GB2312" w:cs="仿宋_GB2312"/>
          <w:color w:val="auto"/>
          <w:kern w:val="0"/>
          <w:sz w:val="32"/>
          <w:szCs w:val="32"/>
          <w:lang w:bidi="ar"/>
        </w:rPr>
      </w:pPr>
      <w:r>
        <w:rPr>
          <w:rFonts w:hint="eastAsia" w:ascii="仿宋_GB2312" w:hAnsi="仿宋_GB2312" w:eastAsia="仿宋_GB2312" w:cs="仿宋_GB2312"/>
          <w:color w:val="auto"/>
          <w:kern w:val="0"/>
          <w:sz w:val="32"/>
          <w:szCs w:val="32"/>
          <w:lang w:bidi="ar"/>
        </w:rPr>
        <w:t>提高预算编制精准度，科学合理地设置绩效目标和指标。绩效目标设置要结合实际，进行充分的</w:t>
      </w:r>
      <w:r>
        <w:rPr>
          <w:rFonts w:hint="eastAsia" w:ascii="仿宋_GB2312" w:hAnsi="仿宋_GB2312" w:eastAsia="仿宋_GB2312" w:cs="仿宋_GB2312"/>
          <w:color w:val="auto"/>
          <w:kern w:val="0"/>
          <w:sz w:val="32"/>
          <w:szCs w:val="32"/>
          <w:lang w:val="en-US" w:eastAsia="zh-CN" w:bidi="ar"/>
        </w:rPr>
        <w:t>调查</w:t>
      </w:r>
      <w:r>
        <w:rPr>
          <w:rFonts w:hint="eastAsia" w:ascii="仿宋_GB2312" w:hAnsi="仿宋_GB2312" w:eastAsia="仿宋_GB2312" w:cs="仿宋_GB2312"/>
          <w:color w:val="auto"/>
          <w:kern w:val="0"/>
          <w:sz w:val="32"/>
          <w:szCs w:val="32"/>
          <w:lang w:bidi="ar"/>
        </w:rPr>
        <w:t>论证。目标设置应具有较强的可操性和可实现性；绩效指标设置要做到量化和细化，有效衡量和考核绩效目标实现程度。</w:t>
      </w:r>
    </w:p>
    <w:p w14:paraId="6EA40343">
      <w:pPr>
        <w:keepNext w:val="0"/>
        <w:keepLines w:val="0"/>
        <w:pageBreakBefore w:val="0"/>
        <w:widowControl w:val="0"/>
        <w:numPr>
          <w:ilvl w:val="0"/>
          <w:numId w:val="1"/>
        </w:numPr>
        <w:kinsoku/>
        <w:wordWrap/>
        <w:overflowPunct/>
        <w:topLinePunct w:val="0"/>
        <w:autoSpaceDE/>
        <w:autoSpaceDN/>
        <w:bidi w:val="0"/>
        <w:adjustRightInd/>
        <w:snapToGrid w:val="0"/>
        <w:spacing w:line="580" w:lineRule="exact"/>
        <w:ind w:left="0" w:right="0" w:firstLine="640" w:firstLineChars="200"/>
        <w:rPr>
          <w:rFonts w:hint="eastAsia" w:ascii="黑体" w:hAnsi="黑体" w:eastAsia="黑体" w:cs="黑体"/>
          <w:bCs/>
          <w:color w:val="auto"/>
          <w:sz w:val="32"/>
          <w:szCs w:val="32"/>
        </w:rPr>
      </w:pPr>
      <w:r>
        <w:rPr>
          <w:rFonts w:hint="eastAsia" w:ascii="黑体" w:hAnsi="黑体" w:eastAsia="黑体" w:cs="黑体"/>
          <w:bCs/>
          <w:color w:val="auto"/>
          <w:sz w:val="32"/>
          <w:szCs w:val="32"/>
        </w:rPr>
        <w:t>其他自评情况</w:t>
      </w:r>
    </w:p>
    <w:p w14:paraId="1EFC9B7D">
      <w:pPr>
        <w:keepNext w:val="0"/>
        <w:keepLines w:val="0"/>
        <w:pageBreakBefore w:val="0"/>
        <w:widowControl w:val="0"/>
        <w:numPr>
          <w:ilvl w:val="0"/>
          <w:numId w:val="0"/>
        </w:numPr>
        <w:kinsoku/>
        <w:wordWrap/>
        <w:overflowPunct/>
        <w:topLinePunct w:val="0"/>
        <w:autoSpaceDE/>
        <w:autoSpaceDN/>
        <w:bidi w:val="0"/>
        <w:adjustRightInd/>
        <w:snapToGrid w:val="0"/>
        <w:spacing w:line="580" w:lineRule="exact"/>
        <w:ind w:left="0" w:right="0" w:firstLine="640" w:firstLineChars="200"/>
        <w:rPr>
          <w:rFonts w:hint="eastAsia" w:ascii="黑体" w:hAnsi="黑体" w:eastAsia="黑体" w:cs="黑体"/>
          <w:b/>
          <w:bCs w:val="0"/>
          <w:color w:val="auto"/>
          <w:sz w:val="32"/>
          <w:szCs w:val="32"/>
          <w:lang w:eastAsia="zh-CN"/>
        </w:rPr>
      </w:pPr>
      <w:r>
        <w:rPr>
          <w:rFonts w:hint="eastAsia" w:ascii="仿宋_GB2312" w:hAnsi="仿宋_GB2312" w:eastAsia="仿宋_GB2312" w:cs="仿宋_GB2312"/>
          <w:color w:val="auto"/>
          <w:kern w:val="0"/>
          <w:sz w:val="32"/>
          <w:szCs w:val="32"/>
          <w:lang w:val="en-US" w:eastAsia="zh-CN" w:bidi="ar"/>
        </w:rPr>
        <w:t>无。</w:t>
      </w:r>
    </w:p>
    <w:p w14:paraId="7DBAB4A3">
      <w:pPr>
        <w:snapToGrid w:val="0"/>
        <w:spacing w:line="360" w:lineRule="auto"/>
        <w:ind w:firstLine="640" w:firstLineChars="200"/>
        <w:rPr>
          <w:rFonts w:hint="eastAsia" w:ascii="黑体" w:hAnsi="黑体" w:eastAsia="黑体" w:cs="黑体"/>
          <w:bCs/>
          <w:color w:val="auto"/>
          <w:sz w:val="32"/>
          <w:szCs w:val="32"/>
        </w:rPr>
      </w:pPr>
    </w:p>
    <w:p w14:paraId="5E51471D">
      <w:pPr>
        <w:spacing w:line="620" w:lineRule="exact"/>
        <w:rPr>
          <w:rFonts w:hint="eastAsia" w:ascii="方正小标宋_GBK" w:eastAsia="方正小标宋_GBK"/>
          <w:color w:val="auto"/>
          <w:sz w:val="44"/>
          <w:szCs w:val="44"/>
        </w:rPr>
      </w:pPr>
    </w:p>
    <w:sectPr>
      <w:headerReference r:id="rId3" w:type="default"/>
      <w:footerReference r:id="rId4" w:type="default"/>
      <w:footerReference r:id="rId5" w:type="even"/>
      <w:pgSz w:w="11906" w:h="16838"/>
      <w:pgMar w:top="1440" w:right="1466" w:bottom="1440" w:left="144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545374-977C-48B7-A735-49AF93A1F09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6F804303-CE91-4DAC-BB11-135D2A5845C2}"/>
  </w:font>
  <w:font w:name="方正小标宋简体">
    <w:panose1 w:val="02000000000000000000"/>
    <w:charset w:val="86"/>
    <w:family w:val="script"/>
    <w:pitch w:val="default"/>
    <w:sig w:usb0="00000001" w:usb1="080E0000" w:usb2="00000000" w:usb3="00000000" w:csb0="00040000" w:csb1="00000000"/>
    <w:embedRegular r:id="rId3" w:fontKey="{41E41F81-5634-4AE5-81D9-173D51CCB9D7}"/>
  </w:font>
  <w:font w:name="华文仿宋">
    <w:panose1 w:val="02010600040101010101"/>
    <w:charset w:val="86"/>
    <w:family w:val="auto"/>
    <w:pitch w:val="default"/>
    <w:sig w:usb0="00000287" w:usb1="080F0000" w:usb2="00000000" w:usb3="00000000" w:csb0="0004009F" w:csb1="DFD70000"/>
    <w:embedRegular r:id="rId4" w:fontKey="{B994D9F9-1A1C-456F-BA9F-D52487E5C752}"/>
  </w:font>
  <w:font w:name="仿宋">
    <w:panose1 w:val="02010609060101010101"/>
    <w:charset w:val="86"/>
    <w:family w:val="modern"/>
    <w:pitch w:val="default"/>
    <w:sig w:usb0="800002BF" w:usb1="38CF7CFA" w:usb2="00000016" w:usb3="00000000" w:csb0="00040001" w:csb1="00000000"/>
    <w:embedRegular r:id="rId5" w:fontKey="{8659FEF8-D8A0-46B8-8750-82568DF59CEA}"/>
  </w:font>
  <w:font w:name="楷体_GB2312">
    <w:panose1 w:val="02010609030101010101"/>
    <w:charset w:val="86"/>
    <w:family w:val="modern"/>
    <w:pitch w:val="default"/>
    <w:sig w:usb0="00000001" w:usb1="080E0000" w:usb2="00000000" w:usb3="00000000" w:csb0="00040000" w:csb1="00000000"/>
    <w:embedRegular r:id="rId6" w:fontKey="{F39DDBC1-E223-4890-8831-3BB25E126C72}"/>
  </w:font>
  <w:font w:name="楷体">
    <w:panose1 w:val="02010609060101010101"/>
    <w:charset w:val="86"/>
    <w:family w:val="modern"/>
    <w:pitch w:val="default"/>
    <w:sig w:usb0="800002BF" w:usb1="38CF7CFA" w:usb2="00000016" w:usb3="00000000" w:csb0="00040001" w:csb1="00000000"/>
    <w:embedRegular r:id="rId7" w:fontKey="{8826636E-E627-4F4C-9D1C-307D4CEF1BB6}"/>
  </w:font>
  <w:font w:name="方正小标宋_GBK">
    <w:altName w:val="微软雅黑"/>
    <w:panose1 w:val="02000000000000000000"/>
    <w:charset w:val="86"/>
    <w:family w:val="script"/>
    <w:pitch w:val="default"/>
    <w:sig w:usb0="00000000" w:usb1="00000000" w:usb2="00000000" w:usb3="00000000" w:csb0="00040000" w:csb1="00000000"/>
    <w:embedRegular r:id="rId8" w:fontKey="{FABC189D-B92C-494D-BED0-1DD0D4E8200E}"/>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1EEDF">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E3018F">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E3018F">
                    <w:pPr>
                      <w:pStyle w:val="5"/>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09BC87">
    <w:pPr>
      <w:pStyle w:val="5"/>
      <w:framePr w:wrap="around" w:vAnchor="text" w:hAnchor="margin" w:xAlign="center" w:y="1"/>
      <w:rPr>
        <w:rStyle w:val="11"/>
      </w:rPr>
    </w:pPr>
    <w:r>
      <w:fldChar w:fldCharType="begin"/>
    </w:r>
    <w:r>
      <w:rPr>
        <w:rStyle w:val="11"/>
      </w:rPr>
      <w:instrText xml:space="preserve">PAGE  </w:instrText>
    </w:r>
    <w:r>
      <w:fldChar w:fldCharType="end"/>
    </w:r>
  </w:p>
  <w:p w14:paraId="617A71B5">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6C8C05">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94BA63"/>
    <w:multiLevelType w:val="singleLevel"/>
    <w:tmpl w:val="9294BA63"/>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5,6"/>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02D6"/>
    <w:rsid w:val="00015DF6"/>
    <w:rsid w:val="00032E98"/>
    <w:rsid w:val="00073F40"/>
    <w:rsid w:val="00101E4F"/>
    <w:rsid w:val="001376C7"/>
    <w:rsid w:val="001402D6"/>
    <w:rsid w:val="001464A9"/>
    <w:rsid w:val="00147DDE"/>
    <w:rsid w:val="00176000"/>
    <w:rsid w:val="00180204"/>
    <w:rsid w:val="0019277C"/>
    <w:rsid w:val="0019444C"/>
    <w:rsid w:val="001B6DC7"/>
    <w:rsid w:val="001C3D41"/>
    <w:rsid w:val="001D4214"/>
    <w:rsid w:val="00201C7B"/>
    <w:rsid w:val="002231B3"/>
    <w:rsid w:val="002B1622"/>
    <w:rsid w:val="002E1630"/>
    <w:rsid w:val="002E2F0B"/>
    <w:rsid w:val="00305384"/>
    <w:rsid w:val="003466DF"/>
    <w:rsid w:val="00352BCD"/>
    <w:rsid w:val="0037331C"/>
    <w:rsid w:val="003770CB"/>
    <w:rsid w:val="003846EC"/>
    <w:rsid w:val="0045343B"/>
    <w:rsid w:val="004C3AAF"/>
    <w:rsid w:val="004F795B"/>
    <w:rsid w:val="005422D5"/>
    <w:rsid w:val="00571889"/>
    <w:rsid w:val="00586265"/>
    <w:rsid w:val="005D01D6"/>
    <w:rsid w:val="005D0BC0"/>
    <w:rsid w:val="0060315F"/>
    <w:rsid w:val="00615A50"/>
    <w:rsid w:val="006237C5"/>
    <w:rsid w:val="00623EDA"/>
    <w:rsid w:val="00630BDD"/>
    <w:rsid w:val="0063784C"/>
    <w:rsid w:val="006D5C66"/>
    <w:rsid w:val="006F1D98"/>
    <w:rsid w:val="0074195E"/>
    <w:rsid w:val="00784CD1"/>
    <w:rsid w:val="00791F6D"/>
    <w:rsid w:val="007F00BC"/>
    <w:rsid w:val="00800863"/>
    <w:rsid w:val="00855928"/>
    <w:rsid w:val="00871251"/>
    <w:rsid w:val="008D2722"/>
    <w:rsid w:val="0091507B"/>
    <w:rsid w:val="0093764B"/>
    <w:rsid w:val="00985999"/>
    <w:rsid w:val="00991DCE"/>
    <w:rsid w:val="009E1A03"/>
    <w:rsid w:val="009F5B84"/>
    <w:rsid w:val="00A037C7"/>
    <w:rsid w:val="00A1317E"/>
    <w:rsid w:val="00A44647"/>
    <w:rsid w:val="00A64E36"/>
    <w:rsid w:val="00A77530"/>
    <w:rsid w:val="00A86299"/>
    <w:rsid w:val="00AC752C"/>
    <w:rsid w:val="00B14D4E"/>
    <w:rsid w:val="00B1627C"/>
    <w:rsid w:val="00B21F53"/>
    <w:rsid w:val="00B25711"/>
    <w:rsid w:val="00B6783B"/>
    <w:rsid w:val="00B86B48"/>
    <w:rsid w:val="00BB077C"/>
    <w:rsid w:val="00BF68A5"/>
    <w:rsid w:val="00C1202D"/>
    <w:rsid w:val="00C139BE"/>
    <w:rsid w:val="00C13F25"/>
    <w:rsid w:val="00C234E9"/>
    <w:rsid w:val="00C5674B"/>
    <w:rsid w:val="00C644C1"/>
    <w:rsid w:val="00C74D40"/>
    <w:rsid w:val="00C976C8"/>
    <w:rsid w:val="00CA7F7F"/>
    <w:rsid w:val="00CD31DC"/>
    <w:rsid w:val="00D131F7"/>
    <w:rsid w:val="00D7580D"/>
    <w:rsid w:val="00DA2E26"/>
    <w:rsid w:val="00DB6384"/>
    <w:rsid w:val="00E3751E"/>
    <w:rsid w:val="00E5503D"/>
    <w:rsid w:val="00E60FF0"/>
    <w:rsid w:val="00EA70BD"/>
    <w:rsid w:val="00EB0C74"/>
    <w:rsid w:val="00EB5986"/>
    <w:rsid w:val="00F15AAB"/>
    <w:rsid w:val="00F370FC"/>
    <w:rsid w:val="00F4477B"/>
    <w:rsid w:val="00F57C73"/>
    <w:rsid w:val="00FE4D1F"/>
    <w:rsid w:val="01365434"/>
    <w:rsid w:val="04271BEC"/>
    <w:rsid w:val="05401AC0"/>
    <w:rsid w:val="055006E2"/>
    <w:rsid w:val="0BD85521"/>
    <w:rsid w:val="0C2A7463"/>
    <w:rsid w:val="0F080027"/>
    <w:rsid w:val="0FEF02B3"/>
    <w:rsid w:val="10602149"/>
    <w:rsid w:val="10911C6F"/>
    <w:rsid w:val="12566C54"/>
    <w:rsid w:val="13E67F6B"/>
    <w:rsid w:val="16427FAB"/>
    <w:rsid w:val="17C33620"/>
    <w:rsid w:val="18CA137A"/>
    <w:rsid w:val="18CC1A57"/>
    <w:rsid w:val="1CA538B1"/>
    <w:rsid w:val="1DAF568F"/>
    <w:rsid w:val="1EBD20DC"/>
    <w:rsid w:val="1F871382"/>
    <w:rsid w:val="1FC51581"/>
    <w:rsid w:val="21F30B30"/>
    <w:rsid w:val="22B42350"/>
    <w:rsid w:val="25E02339"/>
    <w:rsid w:val="26032B20"/>
    <w:rsid w:val="277F4996"/>
    <w:rsid w:val="278B5230"/>
    <w:rsid w:val="2868580D"/>
    <w:rsid w:val="29C91057"/>
    <w:rsid w:val="2BEF654B"/>
    <w:rsid w:val="2D182F9D"/>
    <w:rsid w:val="2D214A9F"/>
    <w:rsid w:val="2D740F73"/>
    <w:rsid w:val="2D866BFD"/>
    <w:rsid w:val="2DA64227"/>
    <w:rsid w:val="2EE5593C"/>
    <w:rsid w:val="2F62401A"/>
    <w:rsid w:val="31BB04A8"/>
    <w:rsid w:val="32347777"/>
    <w:rsid w:val="326D6D02"/>
    <w:rsid w:val="339C7C96"/>
    <w:rsid w:val="34033E90"/>
    <w:rsid w:val="34C90E11"/>
    <w:rsid w:val="35657256"/>
    <w:rsid w:val="3A9B75B2"/>
    <w:rsid w:val="3B1F0857"/>
    <w:rsid w:val="3B214680"/>
    <w:rsid w:val="3C6360DF"/>
    <w:rsid w:val="3ED91501"/>
    <w:rsid w:val="400C5F25"/>
    <w:rsid w:val="40733178"/>
    <w:rsid w:val="40923879"/>
    <w:rsid w:val="42237F3B"/>
    <w:rsid w:val="42DE5EF7"/>
    <w:rsid w:val="437C6815"/>
    <w:rsid w:val="45577579"/>
    <w:rsid w:val="4585492C"/>
    <w:rsid w:val="4BFF4E4A"/>
    <w:rsid w:val="4D0C0380"/>
    <w:rsid w:val="50E071A9"/>
    <w:rsid w:val="517A150B"/>
    <w:rsid w:val="546168B5"/>
    <w:rsid w:val="55AD491E"/>
    <w:rsid w:val="5A4F07FA"/>
    <w:rsid w:val="5A927A80"/>
    <w:rsid w:val="5C570DE0"/>
    <w:rsid w:val="5CB84849"/>
    <w:rsid w:val="62FA05A7"/>
    <w:rsid w:val="63123210"/>
    <w:rsid w:val="650E5514"/>
    <w:rsid w:val="651B358E"/>
    <w:rsid w:val="67A27F96"/>
    <w:rsid w:val="6C4B0061"/>
    <w:rsid w:val="6C847500"/>
    <w:rsid w:val="6D401F86"/>
    <w:rsid w:val="6E235FCD"/>
    <w:rsid w:val="70C450CA"/>
    <w:rsid w:val="70F91EFE"/>
    <w:rsid w:val="73A4456B"/>
    <w:rsid w:val="73C8692D"/>
    <w:rsid w:val="78B8444A"/>
    <w:rsid w:val="799822DA"/>
    <w:rsid w:val="7A69370D"/>
    <w:rsid w:val="7B7C57E1"/>
    <w:rsid w:val="7E6F3AB7"/>
    <w:rsid w:val="7F703BED"/>
    <w:rsid w:val="CF1FC72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unhideWhenUsed/>
    <w:qFormat/>
    <w:uiPriority w:val="1"/>
  </w:style>
  <w:style w:type="table" w:default="1" w:styleId="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before="0" w:after="140" w:line="276" w:lineRule="auto"/>
    </w:pPr>
  </w:style>
  <w:style w:type="paragraph" w:styleId="3">
    <w:name w:val="toc 5"/>
    <w:next w:val="1"/>
    <w:qFormat/>
    <w:uiPriority w:val="0"/>
    <w:pPr>
      <w:widowControl w:val="0"/>
      <w:ind w:left="1680"/>
      <w:jc w:val="both"/>
    </w:pPr>
    <w:rPr>
      <w:rFonts w:ascii="Calibri" w:hAnsi="Calibri" w:eastAsia="宋体" w:cs="Times New Roman"/>
      <w:kern w:val="2"/>
      <w:sz w:val="32"/>
      <w:szCs w:val="32"/>
      <w:lang w:val="en-US" w:eastAsia="zh-CN" w:bidi="ar-SA"/>
    </w:rPr>
  </w:style>
  <w:style w:type="paragraph" w:styleId="4">
    <w:name w:val="Body Text Indent"/>
    <w:basedOn w:val="1"/>
    <w:link w:val="16"/>
    <w:qFormat/>
    <w:uiPriority w:val="0"/>
    <w:pPr>
      <w:spacing w:after="120"/>
      <w:ind w:left="420" w:leftChars="200"/>
    </w:p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0"/>
    <w:pPr>
      <w:widowControl/>
      <w:spacing w:before="100" w:beforeAutospacing="1" w:after="100" w:afterAutospacing="1"/>
      <w:jc w:val="left"/>
    </w:pPr>
    <w:rPr>
      <w:rFonts w:ascii="宋体" w:hAnsi="宋体" w:cs="宋体"/>
      <w:kern w:val="0"/>
      <w:sz w:val="24"/>
    </w:rPr>
  </w:style>
  <w:style w:type="paragraph" w:styleId="8">
    <w:name w:val="Body Text First Indent 2"/>
    <w:basedOn w:val="4"/>
    <w:link w:val="17"/>
    <w:qFormat/>
    <w:uiPriority w:val="0"/>
    <w:pPr>
      <w:spacing w:after="0" w:line="560" w:lineRule="exact"/>
      <w:ind w:left="0" w:leftChars="0" w:firstLine="420" w:firstLineChars="300"/>
    </w:pPr>
  </w:style>
  <w:style w:type="character" w:styleId="11">
    <w:name w:val="page number"/>
    <w:basedOn w:val="10"/>
    <w:qFormat/>
    <w:uiPriority w:val="0"/>
  </w:style>
  <w:style w:type="character" w:customStyle="1" w:styleId="12">
    <w:name w:val="页脚 Char"/>
    <w:basedOn w:val="10"/>
    <w:link w:val="5"/>
    <w:qFormat/>
    <w:uiPriority w:val="0"/>
    <w:rPr>
      <w:kern w:val="2"/>
      <w:sz w:val="18"/>
      <w:szCs w:val="18"/>
    </w:rPr>
  </w:style>
  <w:style w:type="character" w:customStyle="1" w:styleId="13">
    <w:name w:val="页眉 Char"/>
    <w:basedOn w:val="10"/>
    <w:link w:val="6"/>
    <w:qFormat/>
    <w:uiPriority w:val="0"/>
    <w:rPr>
      <w:kern w:val="2"/>
      <w:sz w:val="18"/>
      <w:szCs w:val="18"/>
    </w:rPr>
  </w:style>
  <w:style w:type="paragraph" w:customStyle="1" w:styleId="14">
    <w:name w:val="_Style 5"/>
    <w:basedOn w:val="1"/>
    <w:qFormat/>
    <w:uiPriority w:val="99"/>
    <w:pPr>
      <w:ind w:firstLine="200" w:firstLineChars="200"/>
    </w:pPr>
    <w:rPr>
      <w:rFonts w:cs="黑体"/>
      <w:sz w:val="24"/>
    </w:rPr>
  </w:style>
  <w:style w:type="paragraph" w:styleId="15">
    <w:name w:val="List Paragraph"/>
    <w:basedOn w:val="1"/>
    <w:qFormat/>
    <w:uiPriority w:val="99"/>
    <w:pPr>
      <w:ind w:firstLine="420" w:firstLineChars="200"/>
    </w:pPr>
  </w:style>
  <w:style w:type="character" w:customStyle="1" w:styleId="16">
    <w:name w:val="正文文本缩进 Char"/>
    <w:basedOn w:val="10"/>
    <w:link w:val="4"/>
    <w:qFormat/>
    <w:uiPriority w:val="0"/>
    <w:rPr>
      <w:kern w:val="2"/>
      <w:sz w:val="21"/>
      <w:szCs w:val="24"/>
    </w:rPr>
  </w:style>
  <w:style w:type="character" w:customStyle="1" w:styleId="17">
    <w:name w:val="正文首行缩进 2 Char"/>
    <w:basedOn w:val="16"/>
    <w:link w:val="8"/>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http:/sdwm.org</Company>
  <Pages>11</Pages>
  <Words>5357</Words>
  <Characters>5554</Characters>
  <Lines>45</Lines>
  <Paragraphs>12</Paragraphs>
  <TotalTime>7</TotalTime>
  <ScaleCrop>false</ScaleCrop>
  <LinksUpToDate>false</LinksUpToDate>
  <CharactersWithSpaces>5573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2019-05-15T01:53:00Z</dcterms:created>
  <dc:creator>梁志</dc:creator>
  <cp:lastModifiedBy>你说呢</cp:lastModifiedBy>
  <cp:lastPrinted>2025-08-25T08:33:00Z</cp:lastPrinted>
  <dcterms:modified xsi:type="dcterms:W3CDTF">2025-08-25T08:57:16Z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A91762CE6E32497FB112D158E0196919_13</vt:lpwstr>
  </property>
  <property fmtid="{D5CDD505-2E9C-101B-9397-08002B2CF9AE}" pid="4" name="KSOTemplateDocerSaveRecord">
    <vt:lpwstr>eyJoZGlkIjoiODFlY2I4MzExMzE4MjQxYzFmZTBhODcwZDAzODk0NjIiLCJ1c2VySWQiOiI0MTU4MTk3MTQifQ==</vt:lpwstr>
  </property>
</Properties>
</file>