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31A58">
      <w:pPr>
        <w:bidi w:val="0"/>
        <w:jc w:val="center"/>
        <w:rPr>
          <w:b/>
          <w:bCs/>
          <w:sz w:val="40"/>
          <w:szCs w:val="40"/>
        </w:rPr>
      </w:pPr>
      <w:bookmarkStart w:id="0" w:name="_Toc14618"/>
      <w:bookmarkStart w:id="1" w:name="_Toc24110"/>
      <w:r>
        <w:rPr>
          <w:rFonts w:hint="eastAsia"/>
          <w:b/>
          <w:bCs/>
          <w:sz w:val="40"/>
          <w:szCs w:val="40"/>
          <w:lang w:val="en-US" w:eastAsia="zh-CN"/>
        </w:rPr>
        <w:t>麻章区人民医院新建项目信息化建设项目基础设施服务</w:t>
      </w:r>
      <w:bookmarkEnd w:id="0"/>
    </w:p>
    <w:p w14:paraId="7B960702">
      <w:pPr>
        <w:pStyle w:val="2"/>
        <w:bidi w:val="0"/>
        <w:ind w:left="432" w:leftChars="0" w:hanging="432" w:firstLineChars="0"/>
      </w:pPr>
      <w:bookmarkStart w:id="2" w:name="_Toc15466"/>
      <w:r>
        <w:rPr>
          <w:rFonts w:hint="eastAsia"/>
          <w:lang w:val="en-US" w:eastAsia="zh-CN"/>
        </w:rPr>
        <w:t>智慧医疗系统配套软件设计</w:t>
      </w:r>
      <w:bookmarkEnd w:id="2"/>
    </w:p>
    <w:p w14:paraId="49D9B7A9">
      <w:pPr>
        <w:pStyle w:val="3"/>
        <w:bidi w:val="0"/>
        <w:ind w:left="575" w:leftChars="0" w:hanging="575" w:firstLineChars="0"/>
        <w:rPr>
          <w:rFonts w:hint="eastAsia"/>
        </w:rPr>
      </w:pPr>
      <w:r>
        <w:rPr>
          <w:rFonts w:hint="eastAsia"/>
          <w:lang w:val="en-US" w:eastAsia="zh-CN"/>
        </w:rPr>
        <w:t>设计目标</w:t>
      </w:r>
    </w:p>
    <w:p w14:paraId="5BE08618">
      <w:pPr>
        <w:ind w:firstLine="480" w:firstLineChars="200"/>
        <w:rPr>
          <w:rFonts w:hint="default" w:ascii="宋体" w:hAnsi="宋体" w:eastAsia="宋体" w:cs="Times New Roman"/>
          <w:i w:val="0"/>
          <w:iCs w:val="0"/>
          <w:caps w:val="0"/>
          <w:color w:val="auto"/>
          <w:spacing w:val="0"/>
          <w:sz w:val="24"/>
          <w:szCs w:val="24"/>
          <w:highlight w:val="none"/>
          <w:shd w:val="clear"/>
          <w:lang w:val="en-US" w:eastAsia="zh-CN"/>
        </w:rPr>
      </w:pPr>
      <w:r>
        <w:rPr>
          <w:rFonts w:hint="eastAsia" w:ascii="宋体" w:hAnsi="宋体" w:eastAsia="宋体" w:cs="Times New Roman"/>
          <w:i w:val="0"/>
          <w:iCs w:val="0"/>
          <w:caps w:val="0"/>
          <w:color w:val="auto"/>
          <w:spacing w:val="0"/>
          <w:sz w:val="24"/>
          <w:szCs w:val="24"/>
          <w:highlight w:val="none"/>
          <w:shd w:val="clear"/>
          <w:lang w:val="en-US"/>
        </w:rPr>
        <w:t>在信创政策要求下，医疗行业信息化建设已明确要求优先采用国产基础软件</w:t>
      </w:r>
      <w:r>
        <w:rPr>
          <w:rFonts w:hint="eastAsia" w:ascii="宋体" w:hAnsi="宋体" w:cs="Times New Roman"/>
          <w:i w:val="0"/>
          <w:iCs w:val="0"/>
          <w:caps w:val="0"/>
          <w:color w:val="auto"/>
          <w:spacing w:val="0"/>
          <w:sz w:val="24"/>
          <w:szCs w:val="24"/>
          <w:highlight w:val="none"/>
          <w:shd w:val="clear"/>
          <w:lang w:val="en-US" w:eastAsia="zh-CN"/>
        </w:rPr>
        <w:t>，数据库、中间件作为应用系统与底层硬件之间的关键枢纽，其选型直接关系到系统的稳定性、性能与可扩展性。本方案设计目标为：</w:t>
      </w:r>
    </w:p>
    <w:p w14:paraId="60C4047D">
      <w:pPr>
        <w:ind w:firstLine="480" w:firstLineChars="200"/>
        <w:rPr>
          <w:rFonts w:hint="eastAsia" w:ascii="宋体" w:hAnsi="宋体" w:eastAsia="宋体" w:cs="Times New Roman"/>
          <w:i w:val="0"/>
          <w:iCs w:val="0"/>
          <w:caps w:val="0"/>
          <w:color w:val="auto"/>
          <w:spacing w:val="0"/>
          <w:sz w:val="24"/>
          <w:szCs w:val="24"/>
          <w:highlight w:val="none"/>
          <w:shd w:val="clear"/>
          <w:lang w:val="en-US"/>
        </w:rPr>
      </w:pPr>
      <w:r>
        <w:rPr>
          <w:rFonts w:hint="eastAsia" w:ascii="宋体" w:hAnsi="宋体" w:eastAsia="宋体" w:cs="Times New Roman"/>
          <w:i w:val="0"/>
          <w:iCs w:val="0"/>
          <w:caps w:val="0"/>
          <w:color w:val="auto"/>
          <w:spacing w:val="0"/>
          <w:sz w:val="24"/>
          <w:szCs w:val="24"/>
          <w:highlight w:val="none"/>
          <w:shd w:val="clear"/>
          <w:lang w:val="en-US"/>
        </w:rPr>
        <w:t>信创合规：数据库及中间件产品优先选用国产化产品，满足国家及省市信创政策要求。</w:t>
      </w:r>
    </w:p>
    <w:p w14:paraId="66204F73">
      <w:pPr>
        <w:ind w:firstLine="480" w:firstLineChars="200"/>
        <w:rPr>
          <w:rFonts w:hint="eastAsia" w:ascii="宋体" w:hAnsi="宋体" w:eastAsia="宋体" w:cs="Times New Roman"/>
          <w:i w:val="0"/>
          <w:iCs w:val="0"/>
          <w:caps w:val="0"/>
          <w:color w:val="auto"/>
          <w:spacing w:val="0"/>
          <w:sz w:val="24"/>
          <w:szCs w:val="24"/>
          <w:highlight w:val="none"/>
          <w:shd w:val="clear"/>
          <w:lang w:val="en-US"/>
        </w:rPr>
      </w:pPr>
      <w:r>
        <w:rPr>
          <w:rFonts w:hint="eastAsia" w:ascii="宋体" w:hAnsi="宋体" w:eastAsia="宋体" w:cs="Times New Roman"/>
          <w:i w:val="0"/>
          <w:iCs w:val="0"/>
          <w:caps w:val="0"/>
          <w:color w:val="auto"/>
          <w:spacing w:val="0"/>
          <w:sz w:val="24"/>
          <w:szCs w:val="24"/>
          <w:highlight w:val="none"/>
          <w:shd w:val="clear"/>
          <w:lang w:val="en-US"/>
        </w:rPr>
        <w:t>高性能高可用：数据库具备高并发事务处理能力和高可用保障机制，支撑核心业务7×24小时不间断运行。</w:t>
      </w:r>
    </w:p>
    <w:p w14:paraId="1D489544">
      <w:pPr>
        <w:ind w:firstLine="480" w:firstLineChars="200"/>
        <w:rPr>
          <w:rFonts w:hint="eastAsia" w:ascii="宋体" w:hAnsi="宋体" w:eastAsia="宋体" w:cs="Times New Roman"/>
          <w:i w:val="0"/>
          <w:iCs w:val="0"/>
          <w:caps w:val="0"/>
          <w:color w:val="auto"/>
          <w:spacing w:val="0"/>
          <w:sz w:val="24"/>
          <w:szCs w:val="24"/>
          <w:highlight w:val="none"/>
          <w:shd w:val="clear"/>
          <w:lang w:val="en-US"/>
        </w:rPr>
      </w:pPr>
      <w:r>
        <w:rPr>
          <w:rFonts w:hint="eastAsia" w:ascii="宋体" w:hAnsi="宋体" w:eastAsia="宋体" w:cs="Times New Roman"/>
          <w:i w:val="0"/>
          <w:iCs w:val="0"/>
          <w:caps w:val="0"/>
          <w:color w:val="auto"/>
          <w:spacing w:val="0"/>
          <w:sz w:val="24"/>
          <w:szCs w:val="24"/>
          <w:highlight w:val="none"/>
          <w:shd w:val="clear"/>
          <w:lang w:val="en-US"/>
        </w:rPr>
        <w:t>生态兼容：产品与医院现有及新建的应用系统、操作系统、硬件平台具有良好的兼容性。</w:t>
      </w:r>
    </w:p>
    <w:p w14:paraId="7434C851">
      <w:pPr>
        <w:ind w:firstLine="480" w:firstLineChars="200"/>
        <w:rPr>
          <w:rFonts w:hint="eastAsia" w:ascii="宋体" w:hAnsi="宋体" w:eastAsia="宋体" w:cs="Times New Roman"/>
          <w:i w:val="0"/>
          <w:iCs w:val="0"/>
          <w:caps w:val="0"/>
          <w:color w:val="auto"/>
          <w:spacing w:val="0"/>
          <w:sz w:val="24"/>
          <w:szCs w:val="24"/>
          <w:highlight w:val="none"/>
          <w:shd w:val="clear"/>
          <w:lang w:val="en-US"/>
        </w:rPr>
      </w:pPr>
      <w:r>
        <w:rPr>
          <w:rFonts w:hint="eastAsia" w:ascii="宋体" w:hAnsi="宋体" w:eastAsia="宋体" w:cs="Times New Roman"/>
          <w:i w:val="0"/>
          <w:iCs w:val="0"/>
          <w:caps w:val="0"/>
          <w:color w:val="auto"/>
          <w:spacing w:val="0"/>
          <w:sz w:val="24"/>
          <w:szCs w:val="24"/>
          <w:highlight w:val="none"/>
          <w:shd w:val="clear"/>
          <w:lang w:val="en-US"/>
        </w:rPr>
        <w:t>影像采集质量：PACS采集卡满足医疗级图像采集标准，支持无损采集与传输，保障影像诊断质量。</w:t>
      </w:r>
    </w:p>
    <w:p w14:paraId="49B34FE7">
      <w:pPr>
        <w:pStyle w:val="3"/>
        <w:bidi w:val="0"/>
        <w:ind w:left="575" w:leftChars="0" w:hanging="575" w:firstLineChars="0"/>
        <w:rPr>
          <w:rFonts w:hint="eastAsia"/>
        </w:rPr>
      </w:pPr>
      <w:r>
        <w:rPr>
          <w:rFonts w:hint="eastAsia"/>
          <w:lang w:val="en-US" w:eastAsia="zh-CN"/>
        </w:rPr>
        <w:t>配套方案</w:t>
      </w:r>
    </w:p>
    <w:p w14:paraId="4652DC8D">
      <w:pPr>
        <w:pStyle w:val="5"/>
        <w:bidi w:val="0"/>
        <w:ind w:left="720" w:leftChars="0" w:hanging="720" w:firstLineChars="0"/>
        <w:rPr>
          <w:rFonts w:hint="eastAsia"/>
        </w:rPr>
      </w:pPr>
      <w:r>
        <w:rPr>
          <w:rFonts w:hint="eastAsia"/>
        </w:rPr>
        <w:t>数据库分配方案</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723"/>
        <w:gridCol w:w="2018"/>
        <w:gridCol w:w="2620"/>
        <w:gridCol w:w="823"/>
        <w:gridCol w:w="1828"/>
      </w:tblGrid>
      <w:tr w14:paraId="690F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48" w:hRule="atLeast"/>
          <w:jc w:val="center"/>
        </w:trPr>
        <w:tc>
          <w:tcPr>
            <w:tcW w:w="723" w:type="dxa"/>
            <w:shd w:val="clear" w:color="auto" w:fill="FFFFFF"/>
            <w:tcMar>
              <w:top w:w="86" w:type="dxa"/>
              <w:left w:w="0" w:type="dxa"/>
              <w:bottom w:w="86" w:type="dxa"/>
              <w:right w:w="137" w:type="dxa"/>
            </w:tcMar>
            <w:vAlign w:val="center"/>
          </w:tcPr>
          <w:p w14:paraId="61A0C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序号</w:t>
            </w:r>
          </w:p>
        </w:tc>
        <w:tc>
          <w:tcPr>
            <w:tcW w:w="2018" w:type="dxa"/>
            <w:shd w:val="clear" w:color="auto" w:fill="FFFFFF"/>
            <w:tcMar>
              <w:top w:w="86" w:type="dxa"/>
              <w:left w:w="137" w:type="dxa"/>
              <w:bottom w:w="86" w:type="dxa"/>
              <w:right w:w="137" w:type="dxa"/>
            </w:tcMar>
            <w:vAlign w:val="center"/>
          </w:tcPr>
          <w:p w14:paraId="1495D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数据库用途</w:t>
            </w:r>
          </w:p>
        </w:tc>
        <w:tc>
          <w:tcPr>
            <w:tcW w:w="2620" w:type="dxa"/>
            <w:shd w:val="clear" w:color="auto" w:fill="FFFFFF"/>
            <w:tcMar>
              <w:top w:w="86" w:type="dxa"/>
              <w:left w:w="137" w:type="dxa"/>
              <w:bottom w:w="86" w:type="dxa"/>
              <w:right w:w="137" w:type="dxa"/>
            </w:tcMar>
            <w:vAlign w:val="center"/>
          </w:tcPr>
          <w:p w14:paraId="536889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承载系统</w:t>
            </w:r>
          </w:p>
        </w:tc>
        <w:tc>
          <w:tcPr>
            <w:tcW w:w="823" w:type="dxa"/>
            <w:shd w:val="clear" w:color="auto" w:fill="FFFFFF"/>
            <w:tcMar>
              <w:top w:w="86" w:type="dxa"/>
              <w:left w:w="137" w:type="dxa"/>
              <w:bottom w:w="86" w:type="dxa"/>
              <w:right w:w="137" w:type="dxa"/>
            </w:tcMar>
            <w:vAlign w:val="center"/>
          </w:tcPr>
          <w:p w14:paraId="3AEC2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数量</w:t>
            </w:r>
          </w:p>
        </w:tc>
        <w:tc>
          <w:tcPr>
            <w:tcW w:w="1828" w:type="dxa"/>
            <w:shd w:val="clear" w:color="auto" w:fill="FFFFFF"/>
            <w:tcMar>
              <w:top w:w="86" w:type="dxa"/>
              <w:left w:w="137" w:type="dxa"/>
              <w:bottom w:w="86" w:type="dxa"/>
              <w:right w:w="137" w:type="dxa"/>
            </w:tcMar>
            <w:vAlign w:val="center"/>
          </w:tcPr>
          <w:p w14:paraId="63D53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部署位置</w:t>
            </w:r>
          </w:p>
        </w:tc>
      </w:tr>
      <w:tr w14:paraId="770E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8" w:hRule="atLeast"/>
          <w:jc w:val="center"/>
        </w:trPr>
        <w:tc>
          <w:tcPr>
            <w:tcW w:w="723" w:type="dxa"/>
            <w:shd w:val="clear" w:color="auto" w:fill="FFFFFF"/>
            <w:tcMar>
              <w:top w:w="86" w:type="dxa"/>
              <w:left w:w="0" w:type="dxa"/>
              <w:bottom w:w="86" w:type="dxa"/>
              <w:right w:w="137" w:type="dxa"/>
            </w:tcMar>
            <w:vAlign w:val="center"/>
          </w:tcPr>
          <w:p w14:paraId="74340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w:t>
            </w:r>
          </w:p>
        </w:tc>
        <w:tc>
          <w:tcPr>
            <w:tcW w:w="2018" w:type="dxa"/>
            <w:shd w:val="clear" w:color="auto" w:fill="FFFFFF"/>
            <w:tcMar>
              <w:top w:w="86" w:type="dxa"/>
              <w:left w:w="137" w:type="dxa"/>
              <w:bottom w:w="86" w:type="dxa"/>
              <w:right w:w="137" w:type="dxa"/>
            </w:tcMar>
            <w:vAlign w:val="center"/>
          </w:tcPr>
          <w:p w14:paraId="51D63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HIS主数据库</w:t>
            </w:r>
          </w:p>
        </w:tc>
        <w:tc>
          <w:tcPr>
            <w:tcW w:w="2620" w:type="dxa"/>
            <w:shd w:val="clear" w:color="auto" w:fill="FFFFFF"/>
            <w:tcMar>
              <w:top w:w="86" w:type="dxa"/>
              <w:left w:w="137" w:type="dxa"/>
              <w:bottom w:w="86" w:type="dxa"/>
              <w:right w:w="137" w:type="dxa"/>
            </w:tcMar>
            <w:vAlign w:val="center"/>
          </w:tcPr>
          <w:p w14:paraId="09C7C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一体化HIS核心平台</w:t>
            </w:r>
          </w:p>
        </w:tc>
        <w:tc>
          <w:tcPr>
            <w:tcW w:w="823" w:type="dxa"/>
            <w:shd w:val="clear" w:color="auto" w:fill="FFFFFF"/>
            <w:tcMar>
              <w:top w:w="86" w:type="dxa"/>
              <w:left w:w="137" w:type="dxa"/>
              <w:bottom w:w="86" w:type="dxa"/>
              <w:right w:w="137" w:type="dxa"/>
            </w:tcMar>
            <w:vAlign w:val="center"/>
          </w:tcPr>
          <w:p w14:paraId="30587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3F76D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402E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84" w:hRule="atLeast"/>
          <w:jc w:val="center"/>
        </w:trPr>
        <w:tc>
          <w:tcPr>
            <w:tcW w:w="723" w:type="dxa"/>
            <w:shd w:val="clear" w:color="auto" w:fill="FFFFFF"/>
            <w:tcMar>
              <w:top w:w="86" w:type="dxa"/>
              <w:left w:w="0" w:type="dxa"/>
              <w:bottom w:w="86" w:type="dxa"/>
              <w:right w:w="137" w:type="dxa"/>
            </w:tcMar>
            <w:vAlign w:val="center"/>
          </w:tcPr>
          <w:p w14:paraId="2C22C7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2</w:t>
            </w:r>
          </w:p>
        </w:tc>
        <w:tc>
          <w:tcPr>
            <w:tcW w:w="2018" w:type="dxa"/>
            <w:shd w:val="clear" w:color="auto" w:fill="FFFFFF"/>
            <w:tcMar>
              <w:top w:w="86" w:type="dxa"/>
              <w:left w:w="137" w:type="dxa"/>
              <w:bottom w:w="86" w:type="dxa"/>
              <w:right w:w="137" w:type="dxa"/>
            </w:tcMar>
            <w:vAlign w:val="center"/>
          </w:tcPr>
          <w:p w14:paraId="1FF4B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LIS数据库</w:t>
            </w:r>
          </w:p>
        </w:tc>
        <w:tc>
          <w:tcPr>
            <w:tcW w:w="2620" w:type="dxa"/>
            <w:shd w:val="clear" w:color="auto" w:fill="FFFFFF"/>
            <w:tcMar>
              <w:top w:w="86" w:type="dxa"/>
              <w:left w:w="137" w:type="dxa"/>
              <w:bottom w:w="86" w:type="dxa"/>
              <w:right w:w="137" w:type="dxa"/>
            </w:tcMar>
            <w:vAlign w:val="center"/>
          </w:tcPr>
          <w:p w14:paraId="5EB4E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LIS检验信息系统</w:t>
            </w:r>
          </w:p>
        </w:tc>
        <w:tc>
          <w:tcPr>
            <w:tcW w:w="823" w:type="dxa"/>
            <w:shd w:val="clear" w:color="auto" w:fill="FFFFFF"/>
            <w:tcMar>
              <w:top w:w="86" w:type="dxa"/>
              <w:left w:w="137" w:type="dxa"/>
              <w:bottom w:w="86" w:type="dxa"/>
              <w:right w:w="137" w:type="dxa"/>
            </w:tcMar>
            <w:vAlign w:val="center"/>
          </w:tcPr>
          <w:p w14:paraId="2C133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62C22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5A06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70" w:hRule="atLeast"/>
          <w:jc w:val="center"/>
        </w:trPr>
        <w:tc>
          <w:tcPr>
            <w:tcW w:w="723" w:type="dxa"/>
            <w:shd w:val="clear" w:color="auto" w:fill="FFFFFF"/>
            <w:tcMar>
              <w:top w:w="86" w:type="dxa"/>
              <w:left w:w="0" w:type="dxa"/>
              <w:bottom w:w="86" w:type="dxa"/>
              <w:right w:w="137" w:type="dxa"/>
            </w:tcMar>
            <w:vAlign w:val="center"/>
          </w:tcPr>
          <w:p w14:paraId="23114E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3</w:t>
            </w:r>
          </w:p>
        </w:tc>
        <w:tc>
          <w:tcPr>
            <w:tcW w:w="2018" w:type="dxa"/>
            <w:shd w:val="clear" w:color="auto" w:fill="FFFFFF"/>
            <w:tcMar>
              <w:top w:w="86" w:type="dxa"/>
              <w:left w:w="137" w:type="dxa"/>
              <w:bottom w:w="86" w:type="dxa"/>
              <w:right w:w="137" w:type="dxa"/>
            </w:tcMar>
            <w:vAlign w:val="center"/>
          </w:tcPr>
          <w:p w14:paraId="2936D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PACS元数据库</w:t>
            </w:r>
          </w:p>
        </w:tc>
        <w:tc>
          <w:tcPr>
            <w:tcW w:w="2620" w:type="dxa"/>
            <w:shd w:val="clear" w:color="auto" w:fill="FFFFFF"/>
            <w:tcMar>
              <w:top w:w="86" w:type="dxa"/>
              <w:left w:w="137" w:type="dxa"/>
              <w:bottom w:w="86" w:type="dxa"/>
              <w:right w:w="137" w:type="dxa"/>
            </w:tcMar>
            <w:vAlign w:val="center"/>
          </w:tcPr>
          <w:p w14:paraId="38A98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PACS影像系统（元数据）</w:t>
            </w:r>
          </w:p>
        </w:tc>
        <w:tc>
          <w:tcPr>
            <w:tcW w:w="823" w:type="dxa"/>
            <w:shd w:val="clear" w:color="auto" w:fill="FFFFFF"/>
            <w:tcMar>
              <w:top w:w="86" w:type="dxa"/>
              <w:left w:w="137" w:type="dxa"/>
              <w:bottom w:w="86" w:type="dxa"/>
              <w:right w:w="137" w:type="dxa"/>
            </w:tcMar>
            <w:vAlign w:val="center"/>
          </w:tcPr>
          <w:p w14:paraId="36C072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5DE0C4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0B28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70" w:hRule="atLeast"/>
          <w:jc w:val="center"/>
        </w:trPr>
        <w:tc>
          <w:tcPr>
            <w:tcW w:w="723" w:type="dxa"/>
            <w:shd w:val="clear" w:color="auto" w:fill="FFFFFF"/>
            <w:tcMar>
              <w:top w:w="86" w:type="dxa"/>
              <w:left w:w="0" w:type="dxa"/>
              <w:bottom w:w="86" w:type="dxa"/>
              <w:right w:w="137" w:type="dxa"/>
            </w:tcMar>
            <w:vAlign w:val="center"/>
          </w:tcPr>
          <w:p w14:paraId="7AE20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4</w:t>
            </w:r>
          </w:p>
        </w:tc>
        <w:tc>
          <w:tcPr>
            <w:tcW w:w="2018" w:type="dxa"/>
            <w:shd w:val="clear" w:color="auto" w:fill="FFFFFF"/>
            <w:tcMar>
              <w:top w:w="86" w:type="dxa"/>
              <w:left w:w="137" w:type="dxa"/>
              <w:bottom w:w="86" w:type="dxa"/>
              <w:right w:w="137" w:type="dxa"/>
            </w:tcMar>
            <w:vAlign w:val="center"/>
          </w:tcPr>
          <w:p w14:paraId="7BF2C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数据中台数据库</w:t>
            </w:r>
          </w:p>
        </w:tc>
        <w:tc>
          <w:tcPr>
            <w:tcW w:w="2620" w:type="dxa"/>
            <w:shd w:val="clear" w:color="auto" w:fill="FFFFFF"/>
            <w:tcMar>
              <w:top w:w="86" w:type="dxa"/>
              <w:left w:w="137" w:type="dxa"/>
              <w:bottom w:w="86" w:type="dxa"/>
              <w:right w:w="137" w:type="dxa"/>
            </w:tcMar>
            <w:vAlign w:val="center"/>
          </w:tcPr>
          <w:p w14:paraId="145CD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数据中台</w:t>
            </w:r>
          </w:p>
        </w:tc>
        <w:tc>
          <w:tcPr>
            <w:tcW w:w="823" w:type="dxa"/>
            <w:shd w:val="clear" w:color="auto" w:fill="FFFFFF"/>
            <w:tcMar>
              <w:top w:w="86" w:type="dxa"/>
              <w:left w:w="137" w:type="dxa"/>
              <w:bottom w:w="86" w:type="dxa"/>
              <w:right w:w="137" w:type="dxa"/>
            </w:tcMar>
            <w:vAlign w:val="center"/>
          </w:tcPr>
          <w:p w14:paraId="29CAA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52A53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5480E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0" w:hRule="atLeast"/>
          <w:jc w:val="center"/>
        </w:trPr>
        <w:tc>
          <w:tcPr>
            <w:tcW w:w="723" w:type="dxa"/>
            <w:shd w:val="clear" w:color="auto" w:fill="FFFFFF"/>
            <w:tcMar>
              <w:top w:w="86" w:type="dxa"/>
              <w:left w:w="0" w:type="dxa"/>
              <w:bottom w:w="86" w:type="dxa"/>
              <w:right w:w="137" w:type="dxa"/>
            </w:tcMar>
            <w:vAlign w:val="center"/>
          </w:tcPr>
          <w:p w14:paraId="4482D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5</w:t>
            </w:r>
          </w:p>
        </w:tc>
        <w:tc>
          <w:tcPr>
            <w:tcW w:w="2018" w:type="dxa"/>
            <w:shd w:val="clear" w:color="auto" w:fill="FFFFFF"/>
            <w:tcMar>
              <w:top w:w="86" w:type="dxa"/>
              <w:left w:w="137" w:type="dxa"/>
              <w:bottom w:w="86" w:type="dxa"/>
              <w:right w:w="137" w:type="dxa"/>
            </w:tcMar>
            <w:vAlign w:val="center"/>
          </w:tcPr>
          <w:p w14:paraId="51B63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业务中台数据库</w:t>
            </w:r>
          </w:p>
        </w:tc>
        <w:tc>
          <w:tcPr>
            <w:tcW w:w="2620" w:type="dxa"/>
            <w:shd w:val="clear" w:color="auto" w:fill="FFFFFF"/>
            <w:tcMar>
              <w:top w:w="86" w:type="dxa"/>
              <w:left w:w="137" w:type="dxa"/>
              <w:bottom w:w="86" w:type="dxa"/>
              <w:right w:w="137" w:type="dxa"/>
            </w:tcMar>
            <w:vAlign w:val="center"/>
          </w:tcPr>
          <w:p w14:paraId="6DAD3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业务中台</w:t>
            </w:r>
          </w:p>
        </w:tc>
        <w:tc>
          <w:tcPr>
            <w:tcW w:w="823" w:type="dxa"/>
            <w:shd w:val="clear" w:color="auto" w:fill="FFFFFF"/>
            <w:tcMar>
              <w:top w:w="86" w:type="dxa"/>
              <w:left w:w="137" w:type="dxa"/>
              <w:bottom w:w="86" w:type="dxa"/>
              <w:right w:w="137" w:type="dxa"/>
            </w:tcMar>
            <w:vAlign w:val="center"/>
          </w:tcPr>
          <w:p w14:paraId="04471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4553BE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2EF6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70" w:hRule="atLeast"/>
          <w:jc w:val="center"/>
        </w:trPr>
        <w:tc>
          <w:tcPr>
            <w:tcW w:w="723" w:type="dxa"/>
            <w:shd w:val="clear" w:color="auto" w:fill="FFFFFF"/>
            <w:tcMar>
              <w:top w:w="86" w:type="dxa"/>
              <w:left w:w="0" w:type="dxa"/>
              <w:bottom w:w="86" w:type="dxa"/>
              <w:right w:w="137" w:type="dxa"/>
            </w:tcMar>
            <w:vAlign w:val="center"/>
          </w:tcPr>
          <w:p w14:paraId="11313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6</w:t>
            </w:r>
          </w:p>
        </w:tc>
        <w:tc>
          <w:tcPr>
            <w:tcW w:w="2018" w:type="dxa"/>
            <w:shd w:val="clear" w:color="auto" w:fill="FFFFFF"/>
            <w:tcMar>
              <w:top w:w="86" w:type="dxa"/>
              <w:left w:w="137" w:type="dxa"/>
              <w:bottom w:w="86" w:type="dxa"/>
              <w:right w:w="137" w:type="dxa"/>
            </w:tcMar>
            <w:vAlign w:val="center"/>
          </w:tcPr>
          <w:p w14:paraId="0A07E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管理应用数据库</w:t>
            </w:r>
          </w:p>
        </w:tc>
        <w:tc>
          <w:tcPr>
            <w:tcW w:w="2620" w:type="dxa"/>
            <w:shd w:val="clear" w:color="auto" w:fill="FFFFFF"/>
            <w:tcMar>
              <w:top w:w="86" w:type="dxa"/>
              <w:left w:w="137" w:type="dxa"/>
              <w:bottom w:w="86" w:type="dxa"/>
              <w:right w:w="137" w:type="dxa"/>
            </w:tcMar>
            <w:vAlign w:val="center"/>
          </w:tcPr>
          <w:p w14:paraId="2200A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智慧管理应用体系</w:t>
            </w:r>
          </w:p>
        </w:tc>
        <w:tc>
          <w:tcPr>
            <w:tcW w:w="823" w:type="dxa"/>
            <w:shd w:val="clear" w:color="auto" w:fill="FFFFFF"/>
            <w:tcMar>
              <w:top w:w="86" w:type="dxa"/>
              <w:left w:w="137" w:type="dxa"/>
              <w:bottom w:w="86" w:type="dxa"/>
              <w:right w:w="137" w:type="dxa"/>
            </w:tcMar>
            <w:vAlign w:val="center"/>
          </w:tcPr>
          <w:p w14:paraId="01089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1套</w:t>
            </w:r>
          </w:p>
        </w:tc>
        <w:tc>
          <w:tcPr>
            <w:tcW w:w="1828" w:type="dxa"/>
            <w:shd w:val="clear" w:color="auto" w:fill="FFFFFF"/>
            <w:tcMar>
              <w:top w:w="86" w:type="dxa"/>
              <w:left w:w="137" w:type="dxa"/>
              <w:bottom w:w="86" w:type="dxa"/>
              <w:right w:w="0" w:type="dxa"/>
            </w:tcMar>
            <w:vAlign w:val="center"/>
          </w:tcPr>
          <w:p w14:paraId="2E25EE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1E33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67" w:hRule="atLeast"/>
          <w:jc w:val="center"/>
        </w:trPr>
        <w:tc>
          <w:tcPr>
            <w:tcW w:w="5361" w:type="dxa"/>
            <w:gridSpan w:val="3"/>
            <w:shd w:val="clear" w:color="auto" w:fill="FFFFFF"/>
            <w:tcMar>
              <w:top w:w="86" w:type="dxa"/>
              <w:left w:w="0" w:type="dxa"/>
              <w:bottom w:w="86" w:type="dxa"/>
              <w:right w:w="137" w:type="dxa"/>
            </w:tcMar>
            <w:vAlign w:val="center"/>
          </w:tcPr>
          <w:p w14:paraId="4524F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lang w:val="en-US" w:eastAsia="zh-CN" w:bidi="ar"/>
              </w:rPr>
              <w:t>合计</w:t>
            </w:r>
          </w:p>
        </w:tc>
        <w:tc>
          <w:tcPr>
            <w:tcW w:w="823" w:type="dxa"/>
            <w:shd w:val="clear" w:color="auto" w:fill="FFFFFF"/>
            <w:tcMar>
              <w:top w:w="86" w:type="dxa"/>
              <w:left w:w="137" w:type="dxa"/>
              <w:bottom w:w="86" w:type="dxa"/>
              <w:right w:w="137" w:type="dxa"/>
            </w:tcMar>
            <w:vAlign w:val="center"/>
          </w:tcPr>
          <w:p w14:paraId="1B89F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lang w:val="en-US" w:eastAsia="zh-CN" w:bidi="ar"/>
              </w:rPr>
              <w:t>6套</w:t>
            </w:r>
          </w:p>
        </w:tc>
        <w:tc>
          <w:tcPr>
            <w:tcW w:w="1828" w:type="dxa"/>
            <w:shd w:val="clear" w:color="auto" w:fill="FFFFFF"/>
            <w:tcMar>
              <w:top w:w="86" w:type="dxa"/>
              <w:left w:w="137" w:type="dxa"/>
              <w:bottom w:w="86" w:type="dxa"/>
              <w:right w:w="0" w:type="dxa"/>
            </w:tcMar>
            <w:vAlign w:val="center"/>
          </w:tcPr>
          <w:p w14:paraId="6545E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p>
        </w:tc>
      </w:tr>
    </w:tbl>
    <w:p w14:paraId="4DBDE679">
      <w:pPr>
        <w:pStyle w:val="5"/>
        <w:bidi w:val="0"/>
        <w:ind w:left="720" w:leftChars="0" w:hanging="720" w:firstLineChars="0"/>
        <w:rPr>
          <w:rFonts w:hint="eastAsia"/>
        </w:rPr>
      </w:pPr>
      <w:r>
        <w:rPr>
          <w:rFonts w:hint="eastAsia"/>
          <w:lang w:val="en-US" w:eastAsia="zh-CN"/>
        </w:rPr>
        <w:t>配套中间件及操作系统</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723"/>
        <w:gridCol w:w="1872"/>
        <w:gridCol w:w="2766"/>
        <w:gridCol w:w="823"/>
        <w:gridCol w:w="1828"/>
      </w:tblGrid>
      <w:tr w14:paraId="6CD7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48" w:hRule="atLeast"/>
          <w:jc w:val="center"/>
        </w:trPr>
        <w:tc>
          <w:tcPr>
            <w:tcW w:w="723" w:type="dxa"/>
            <w:shd w:val="clear" w:color="auto" w:fill="FFFFFF"/>
            <w:tcMar>
              <w:top w:w="86" w:type="dxa"/>
              <w:left w:w="0" w:type="dxa"/>
              <w:bottom w:w="86" w:type="dxa"/>
              <w:right w:w="137" w:type="dxa"/>
            </w:tcMar>
            <w:vAlign w:val="center"/>
          </w:tcPr>
          <w:p w14:paraId="06568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序号</w:t>
            </w:r>
          </w:p>
        </w:tc>
        <w:tc>
          <w:tcPr>
            <w:tcW w:w="1872" w:type="dxa"/>
            <w:shd w:val="clear" w:color="auto" w:fill="FFFFFF"/>
            <w:tcMar>
              <w:top w:w="86" w:type="dxa"/>
              <w:left w:w="137" w:type="dxa"/>
              <w:bottom w:w="86" w:type="dxa"/>
              <w:right w:w="137" w:type="dxa"/>
            </w:tcMar>
            <w:vAlign w:val="center"/>
          </w:tcPr>
          <w:p w14:paraId="152752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名称</w:t>
            </w:r>
          </w:p>
        </w:tc>
        <w:tc>
          <w:tcPr>
            <w:tcW w:w="2766" w:type="dxa"/>
            <w:shd w:val="clear" w:color="auto" w:fill="FFFFFF"/>
            <w:tcMar>
              <w:top w:w="86" w:type="dxa"/>
              <w:left w:w="137" w:type="dxa"/>
              <w:bottom w:w="86" w:type="dxa"/>
              <w:right w:w="137" w:type="dxa"/>
            </w:tcMar>
            <w:vAlign w:val="center"/>
          </w:tcPr>
          <w:p w14:paraId="38579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承载系统</w:t>
            </w:r>
          </w:p>
        </w:tc>
        <w:tc>
          <w:tcPr>
            <w:tcW w:w="823" w:type="dxa"/>
            <w:shd w:val="clear" w:color="auto" w:fill="FFFFFF"/>
            <w:tcMar>
              <w:top w:w="86" w:type="dxa"/>
              <w:left w:w="137" w:type="dxa"/>
              <w:bottom w:w="86" w:type="dxa"/>
              <w:right w:w="137" w:type="dxa"/>
            </w:tcMar>
            <w:vAlign w:val="center"/>
          </w:tcPr>
          <w:p w14:paraId="163AE3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数量</w:t>
            </w:r>
          </w:p>
        </w:tc>
        <w:tc>
          <w:tcPr>
            <w:tcW w:w="1828" w:type="dxa"/>
            <w:shd w:val="clear" w:color="auto" w:fill="FFFFFF"/>
            <w:tcMar>
              <w:top w:w="86" w:type="dxa"/>
              <w:left w:w="137" w:type="dxa"/>
              <w:bottom w:w="86" w:type="dxa"/>
              <w:right w:w="137" w:type="dxa"/>
            </w:tcMar>
            <w:vAlign w:val="center"/>
          </w:tcPr>
          <w:p w14:paraId="6F0030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
              </w:rPr>
              <w:t>部署位置</w:t>
            </w:r>
          </w:p>
        </w:tc>
      </w:tr>
      <w:tr w14:paraId="0960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8" w:hRule="atLeast"/>
          <w:jc w:val="center"/>
        </w:trPr>
        <w:tc>
          <w:tcPr>
            <w:tcW w:w="723" w:type="dxa"/>
            <w:shd w:val="clear" w:color="auto" w:fill="FFFFFF"/>
            <w:tcMar>
              <w:top w:w="86" w:type="dxa"/>
              <w:left w:w="0" w:type="dxa"/>
              <w:bottom w:w="86" w:type="dxa"/>
              <w:right w:w="137" w:type="dxa"/>
            </w:tcMar>
            <w:vAlign w:val="center"/>
          </w:tcPr>
          <w:p w14:paraId="47381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1</w:t>
            </w:r>
          </w:p>
        </w:tc>
        <w:tc>
          <w:tcPr>
            <w:tcW w:w="1872" w:type="dxa"/>
            <w:shd w:val="clear" w:color="auto" w:fill="FFFFFF"/>
            <w:tcMar>
              <w:top w:w="86" w:type="dxa"/>
              <w:left w:w="137" w:type="dxa"/>
              <w:bottom w:w="86" w:type="dxa"/>
              <w:right w:w="137" w:type="dxa"/>
            </w:tcMar>
            <w:vAlign w:val="center"/>
          </w:tcPr>
          <w:p w14:paraId="608DD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应用中间件</w:t>
            </w:r>
          </w:p>
        </w:tc>
        <w:tc>
          <w:tcPr>
            <w:tcW w:w="2766" w:type="dxa"/>
            <w:shd w:val="clear" w:color="auto" w:fill="FFFFFF"/>
            <w:tcMar>
              <w:top w:w="86" w:type="dxa"/>
              <w:left w:w="137" w:type="dxa"/>
              <w:bottom w:w="86" w:type="dxa"/>
              <w:right w:w="137" w:type="dxa"/>
            </w:tcMar>
            <w:vAlign w:val="center"/>
          </w:tcPr>
          <w:p w14:paraId="7EF09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eastAsia="宋体" w:asciiTheme="minorEastAsia" w:hAnsi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承载</w:t>
            </w:r>
            <w:r>
              <w:rPr>
                <w:rFonts w:ascii="宋体" w:hAnsi="宋体" w:eastAsia="宋体" w:cs="宋体"/>
                <w:color w:val="auto"/>
                <w:sz w:val="24"/>
                <w:szCs w:val="24"/>
                <w:highlight w:val="none"/>
              </w:rPr>
              <w:t>临床核心业务</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运营收费</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医保</w:t>
            </w:r>
            <w:r>
              <w:rPr>
                <w:rFonts w:hint="eastAsia" w:ascii="宋体" w:hAnsi="宋体" w:cs="宋体"/>
                <w:color w:val="auto"/>
                <w:sz w:val="24"/>
                <w:szCs w:val="24"/>
                <w:highlight w:val="none"/>
                <w:lang w:val="en-US" w:eastAsia="zh-CN"/>
              </w:rPr>
              <w:t>等</w:t>
            </w:r>
            <w:r>
              <w:rPr>
                <w:rFonts w:ascii="宋体" w:hAnsi="宋体" w:eastAsia="宋体" w:cs="宋体"/>
                <w:color w:val="auto"/>
                <w:sz w:val="24"/>
                <w:szCs w:val="24"/>
                <w:highlight w:val="none"/>
              </w:rPr>
              <w:t>业务</w:t>
            </w:r>
          </w:p>
        </w:tc>
        <w:tc>
          <w:tcPr>
            <w:tcW w:w="823" w:type="dxa"/>
            <w:shd w:val="clear" w:color="auto" w:fill="FFFFFF"/>
            <w:tcMar>
              <w:top w:w="86" w:type="dxa"/>
              <w:left w:w="137" w:type="dxa"/>
              <w:bottom w:w="86" w:type="dxa"/>
              <w:right w:w="137" w:type="dxa"/>
            </w:tcMar>
            <w:vAlign w:val="center"/>
          </w:tcPr>
          <w:p w14:paraId="53B24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3套</w:t>
            </w:r>
          </w:p>
        </w:tc>
        <w:tc>
          <w:tcPr>
            <w:tcW w:w="1828" w:type="dxa"/>
            <w:shd w:val="clear" w:color="auto" w:fill="FFFFFF"/>
            <w:tcMar>
              <w:top w:w="86" w:type="dxa"/>
              <w:left w:w="137" w:type="dxa"/>
              <w:bottom w:w="86" w:type="dxa"/>
              <w:right w:w="0" w:type="dxa"/>
            </w:tcMar>
            <w:vAlign w:val="center"/>
          </w:tcPr>
          <w:p w14:paraId="1AC6A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r w14:paraId="3D41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4" w:hRule="atLeast"/>
          <w:jc w:val="center"/>
        </w:trPr>
        <w:tc>
          <w:tcPr>
            <w:tcW w:w="723" w:type="dxa"/>
            <w:shd w:val="clear" w:color="auto" w:fill="FFFFFF"/>
            <w:tcMar>
              <w:top w:w="86" w:type="dxa"/>
              <w:left w:w="0" w:type="dxa"/>
              <w:bottom w:w="86" w:type="dxa"/>
              <w:right w:w="137" w:type="dxa"/>
            </w:tcMar>
            <w:vAlign w:val="center"/>
          </w:tcPr>
          <w:p w14:paraId="0D3285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2</w:t>
            </w:r>
          </w:p>
        </w:tc>
        <w:tc>
          <w:tcPr>
            <w:tcW w:w="1872" w:type="dxa"/>
            <w:shd w:val="clear" w:color="auto" w:fill="FFFFFF"/>
            <w:tcMar>
              <w:top w:w="86" w:type="dxa"/>
              <w:left w:w="137" w:type="dxa"/>
              <w:bottom w:w="86" w:type="dxa"/>
              <w:right w:w="137" w:type="dxa"/>
            </w:tcMar>
            <w:vAlign w:val="center"/>
          </w:tcPr>
          <w:p w14:paraId="0BB4AC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国产操作系统</w:t>
            </w:r>
          </w:p>
        </w:tc>
        <w:tc>
          <w:tcPr>
            <w:tcW w:w="2766" w:type="dxa"/>
            <w:shd w:val="clear" w:color="auto" w:fill="FFFFFF"/>
            <w:tcMar>
              <w:top w:w="86" w:type="dxa"/>
              <w:left w:w="137" w:type="dxa"/>
              <w:bottom w:w="86" w:type="dxa"/>
              <w:right w:w="137" w:type="dxa"/>
            </w:tcMar>
            <w:vAlign w:val="center"/>
          </w:tcPr>
          <w:p w14:paraId="62826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承载数据库服务器和应用中间件服务器</w:t>
            </w:r>
          </w:p>
        </w:tc>
        <w:tc>
          <w:tcPr>
            <w:tcW w:w="823" w:type="dxa"/>
            <w:shd w:val="clear" w:color="auto" w:fill="FFFFFF"/>
            <w:tcMar>
              <w:top w:w="86" w:type="dxa"/>
              <w:left w:w="137" w:type="dxa"/>
              <w:bottom w:w="86" w:type="dxa"/>
              <w:right w:w="137" w:type="dxa"/>
            </w:tcMar>
            <w:vAlign w:val="center"/>
          </w:tcPr>
          <w:p w14:paraId="03EBC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9套</w:t>
            </w:r>
          </w:p>
        </w:tc>
        <w:tc>
          <w:tcPr>
            <w:tcW w:w="1828" w:type="dxa"/>
            <w:shd w:val="clear" w:color="auto" w:fill="FFFFFF"/>
            <w:tcMar>
              <w:top w:w="86" w:type="dxa"/>
              <w:left w:w="137" w:type="dxa"/>
              <w:bottom w:w="86" w:type="dxa"/>
              <w:right w:w="0" w:type="dxa"/>
            </w:tcMar>
            <w:vAlign w:val="center"/>
          </w:tcPr>
          <w:p w14:paraId="6E052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i w:val="0"/>
                <w:iCs w:val="0"/>
                <w:caps w:val="0"/>
                <w:color w:val="auto"/>
                <w:spacing w:val="0"/>
                <w:sz w:val="24"/>
                <w:szCs w:val="24"/>
                <w:highlight w:val="none"/>
                <w:lang w:val="en-US"/>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内网服务器区</w:t>
            </w:r>
          </w:p>
        </w:tc>
      </w:tr>
    </w:tbl>
    <w:p w14:paraId="455FE09A">
      <w:pPr>
        <w:pStyle w:val="3"/>
        <w:bidi w:val="0"/>
        <w:ind w:left="575" w:leftChars="0" w:hanging="575" w:firstLineChars="0"/>
        <w:rPr>
          <w:rFonts w:hint="eastAsia"/>
        </w:rPr>
      </w:pPr>
      <w:r>
        <w:rPr>
          <w:rFonts w:hint="eastAsia"/>
          <w:lang w:val="en-US" w:eastAsia="zh-CN"/>
        </w:rPr>
        <w:t>配套软件清单</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521"/>
        <w:gridCol w:w="4946"/>
        <w:gridCol w:w="831"/>
      </w:tblGrid>
      <w:tr w14:paraId="3275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blHeader/>
          <w:jc w:val="center"/>
        </w:trPr>
        <w:tc>
          <w:tcPr>
            <w:tcW w:w="714" w:type="dxa"/>
            <w:vAlign w:val="center"/>
          </w:tcPr>
          <w:p w14:paraId="2FCBD3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521" w:type="dxa"/>
            <w:vAlign w:val="center"/>
          </w:tcPr>
          <w:p w14:paraId="4423C5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4946" w:type="dxa"/>
            <w:vAlign w:val="center"/>
          </w:tcPr>
          <w:p w14:paraId="2CAAEE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技术指标与服务要求</w:t>
            </w:r>
          </w:p>
        </w:tc>
        <w:tc>
          <w:tcPr>
            <w:tcW w:w="831" w:type="dxa"/>
            <w:vAlign w:val="center"/>
          </w:tcPr>
          <w:p w14:paraId="7EC09B8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r>
      <w:tr w14:paraId="338A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4" w:type="dxa"/>
            <w:vAlign w:val="center"/>
          </w:tcPr>
          <w:p w14:paraId="4FA7061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521" w:type="dxa"/>
            <w:vAlign w:val="center"/>
          </w:tcPr>
          <w:p w14:paraId="6B322FD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数据库</w:t>
            </w:r>
          </w:p>
        </w:tc>
        <w:tc>
          <w:tcPr>
            <w:tcW w:w="4946" w:type="dxa"/>
            <w:vAlign w:val="center"/>
          </w:tcPr>
          <w:p w14:paraId="2568687F">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1.★数据库安装：a) 支持命令行或图形化的安装；b) 支持命令行或图形化的可配置安装能力；c) 依据安装环境提供相应的初始化参数配置值；d) 提供图形化软件组件管理向导工具。</w:t>
            </w:r>
          </w:p>
          <w:p w14:paraId="30195F6D">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2.★数据库重启：a) 支持命令行或图形化的方式关闭和启动服务；b) 关闭服务后，再启动服务，服务正常。</w:t>
            </w:r>
          </w:p>
          <w:p w14:paraId="5A25528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3.★安装配置日志：a) 提供软件安装的日志记录功能；b) 记录的软件安装信息完整正确；c) 提供安装配置操作的日志记录功能；d) 记录的配置操作信息完整正确。</w:t>
            </w:r>
          </w:p>
          <w:p w14:paraId="2617D32E">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4.★升级维护：a) 支持版本升级，保证版本间功能和数据的兼容性；b) 厂商提供当前版本与历史版本的差异说明文档，包含新版本对软件和硬件的支持情况。</w:t>
            </w:r>
          </w:p>
          <w:p w14:paraId="750A3043">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5.★参数配置：a) 依据工作负载和运行环境，提供配置参数修改的能力；b) 修改数据库配置参数后，配置参数立即生效或数据库重新启动生效，立即生效的配置参数和需要数据库重新启动方可生效的配置参数在相关文档中明确。</w:t>
            </w:r>
          </w:p>
          <w:p w14:paraId="7AC8E986">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6.★SQL功能-基础数据类型：a)支持数值类型；b)支持字符类型；c)支持二进制类型；d)支持日期和时间类型；e)支持布尔类型；f)支持（大）文本类型；g)支持大对象类型。</w:t>
            </w:r>
          </w:p>
          <w:p w14:paraId="28EDA938">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7.★SQL功能-数据存储基础功能：支持基础数据类型。</w:t>
            </w:r>
          </w:p>
          <w:p w14:paraId="5A68F8B3">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8.★SQL功能-数据检索基础功能：支持基础数据类型。</w:t>
            </w:r>
          </w:p>
          <w:p w14:paraId="08CE684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9.★核心SQL能力：a)支持左外连接；b)支持右外连接；c)支持内连接；d)支持全连接。</w:t>
            </w:r>
          </w:p>
          <w:p w14:paraId="0680702E">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10.★SQL功能-字符集：中文字符集符合 GB 18030 的要求。</w:t>
            </w:r>
          </w:p>
          <w:p w14:paraId="5D5B28A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11.★SQL功能-常用操作符：a)支持逻辑操作符及相关运算；b)支持比较操作符及相关运算；c)支持算术运算符及相关运算。</w:t>
            </w:r>
          </w:p>
          <w:p w14:paraId="661FBE6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12.★SQL功能-条件表达式：a)支持对比条件表达式；b)支持逻辑条件表达式；c)支持空值条件表达式；d)支持等于条件表达式；e)支持模式匹配条件表达式；f)支持区间条件表达式；g)支持 IN 条件表达式；h)支持存在条件表达式；i)支持以上条件表达式的复合表达式。</w:t>
            </w:r>
          </w:p>
          <w:p w14:paraId="0708BA5A">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13.★SQL功能-SQL执行计划：支持 SQL 计划，使 SQL 按照指定的语句执行，并实现预期结果。</w:t>
            </w:r>
          </w:p>
          <w:p w14:paraId="57BF049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14.★基础对象类型：a)支持用户的创建、删除、修改；b)支持角色的创建、删除、修改；c)支持存储过程的创建、删除、修改；d) 支持表操作功能；e)支持自增序列；f)支持主键约束、外键约束、唯一性约束、检查约束和联合主键约束；g)支持游标功能；h)支持视图的创建、删除、修改；i)支持数值计算函数、字符处理函数、日期时间值函数、间隔函数、类型转换函数、位运算函数、聚合函数、格式化、系统信息等常用函数。</w:t>
            </w:r>
          </w:p>
          <w:p w14:paraId="6AFAE8B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15.★基础表分区管理：a)哈希分区方式；b)范围分区方式；c)列表分区方式。</w:t>
            </w:r>
          </w:p>
          <w:p w14:paraId="36BCEEB5">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16.★对象变更：a)支持数据库的创建、删除、更新以及数据库属性的查询；b)支持在线变更表结构、索引；c)支持数据的增加、删除、修改和查询。</w:t>
            </w:r>
          </w:p>
          <w:p w14:paraId="226033E6">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17.★事务能力：支持事务的ACID。死锁检测与处理：a)在并发执行过程中，能检测到死锁；b)提供解决全局死锁的机制；c)具备死锁处理能力；d)具备死锁超时回滚的能力；e)具备死锁检测与处理记录功能。</w:t>
            </w:r>
          </w:p>
          <w:p w14:paraId="22F5E76B">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18.★运行时统计信息基础功能：a）数据库慢SQL统计：1）支持统计SQL语句；2）支持统计用户名；3）支持统计数据库名；4）支持统计执行时长；b）数据库性能状态统计：1）支持统计每秒事务数和查询数；2）支持统计SQL平均响应时间；3）支持统计高频 SQL。</w:t>
            </w:r>
          </w:p>
          <w:p w14:paraId="12D6B016">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19.★日志：a)具备对各类事件进行日志记录的功能，可通过日志查看操作内容、执行过程和结果；b)具备提示和警告功能，提示或警告数据库结构修改、数据库运行配置修改等重要操作；c)日志完整正确，并且提供可读文本的形式；d)支持中文日志。</w:t>
            </w:r>
          </w:p>
          <w:p w14:paraId="4016E73C">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20.★远程运维：具备远程维护功能。</w:t>
            </w:r>
          </w:p>
          <w:p w14:paraId="091E316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21.★报警：a)厂商提供通知管理员的方法或工具；b)支持设置报警基线，数据库运行中遇到重要事件、异常事件和状态、超过报警阈值等情况时，通知管理员；c)提供报警 API；d)报警发生时，支持报警信息的实时展示。</w:t>
            </w:r>
          </w:p>
          <w:p w14:paraId="1058B63F">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22.★数据迁移：a)提供元数据、数据库、数据库对象、表数据快速迁移的功能；b)支持数据迁移工具实现同构或异构数据库之间的数据迁移；c)支持全量数据迁移、增量数据持续同步等迁移模式；d)在数据迁移过程中具备应对传输异常的能力，保障数据迁移的稳定性、连续性和一致性；e)支持存量数据的一次性迁移和增量数据库的持续同步；f)支持多种不同类型的源数据库和目标数据库之间的数据迁移。</w:t>
            </w:r>
          </w:p>
          <w:p w14:paraId="4C91087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23.★数据比对基础功能：对源数据库和目标数据库之间的数据进行比对，支持数据一致性，并提供一致性比对报告。</w:t>
            </w:r>
          </w:p>
          <w:p w14:paraId="4209776C">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24.★数据备份：a)运行状态下支持对数据库进行全库备份；b)运行状态下支持对数据库进行部分备份；c)运行状态下支持对数据库进行增量备份。</w:t>
            </w:r>
          </w:p>
          <w:p w14:paraId="1E9320E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25.★多种存储媒体备份、还原：支持多种备份存储媒体，支持多种存储媒体的部分、完整数据库数据还原处理能力。</w:t>
            </w:r>
          </w:p>
          <w:p w14:paraId="12991C45">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26.★备份还原的一致性校验：提供数据库备份数据一致性校验的命令或工具。</w:t>
            </w:r>
          </w:p>
          <w:p w14:paraId="73A1439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27.★集群构建与管理：a)支持集群的运行环境；b)支持创建并配置数据库集群；c)配置信息至少包括日常运维管理、容灾管理、日志管理、备份管理、监控等。</w:t>
            </w:r>
          </w:p>
          <w:p w14:paraId="68E91FA0">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28.★数据库开发调试工具：a)具备图形化功能，提高易用性；b)具备导入、编辑、保存、执行SQL语句和SQL脚本功能；c)具备复制、编辑现有数据库对象功能；d)具备关键词显示标记、动态语法提示的SQL编辑器功能。</w:t>
            </w:r>
          </w:p>
          <w:p w14:paraId="232FB420">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29.★用户、角色管理工具：a)支持创建、修改、删除用户的功能；b）提供定义用户的功能；c)支持创建、修改、删除角色的功能，且提供用户自定义角色的功能。</w:t>
            </w:r>
          </w:p>
          <w:p w14:paraId="0D91D6B5">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30.★SQL 执行计划查看工具：a)提供与数据库管理系统进行 SQL 交互的工具，方便运维工作；b)支持查看 SQL 语句查询执行计划与统计信息。</w:t>
            </w:r>
          </w:p>
          <w:p w14:paraId="69A8726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31.★数据库对象工具：a)支持创建、修改、删除表的功能，支持定义表结构、约束、存储配置管理的功能；b)支持创建、修改、删除索引的功能，支持定义索引结构、类型、存储配置管理的功能；c)支持创建、修改、删除视图的功能，支持视图定义的功能；d)支持创建、修改、删除约束的功能，支持约束定义的功能。</w:t>
            </w:r>
          </w:p>
          <w:p w14:paraId="1299DF09">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32.★导入导出工具：a)支持导出不同格式，可以将不同格式数据导入到数据库中；b)支持不同级别和不同数据库对象的导入/导出功能；c)支持从文本文件或者其他上游数据源将数据导入；d)支持SQL脚本进行导入导出。</w:t>
            </w:r>
          </w:p>
          <w:p w14:paraId="45EF9D76">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33.★数据库运维工具：a)支持数据库、数据库存储对象结构、数据、统计信息更新维护；</w:t>
            </w:r>
          </w:p>
          <w:p w14:paraId="49F50C10">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b)支持数据库创建、数据库修改、数据库删除、数据库模板维护；c)支持数据库任务自动化调度作业管理；d)支持图形化展示数据库管理的各种元数据界面，展示的内容具有层次性，包括模式、非模式数据字典信息。</w:t>
            </w:r>
          </w:p>
          <w:p w14:paraId="5A0AFD6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34.★图形化管理：提供图形化的开发工具、运维工具。</w:t>
            </w:r>
          </w:p>
          <w:p w14:paraId="4B22695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35.★稳定运行：a)支持连续稳定运行；b)支持数据库管理系统运行风险的报警能力。</w:t>
            </w:r>
          </w:p>
          <w:p w14:paraId="3304794E">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36.★故障切换：支持快速切换，在主数据库出现故障时，能够快速切换到备用数据库，保障业务正常运行；支持无断点恢复能力。</w:t>
            </w:r>
          </w:p>
          <w:p w14:paraId="0EFBBF4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37.★主备备份：a)支持多副本，支持主副本与从副本之间的数据同步，最低时延由生产厂商提供；b)提供基于主机的数据库复制技术，包括基于日志的备用数据库远程数据库备份技术，并具备数据副本间的复制能力。</w:t>
            </w:r>
          </w:p>
          <w:p w14:paraId="3E118960">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38.★实例容灾：a)在任意数据库实例出现故障时，集群内服务正常运行，数据不丢失，集群整体业务可用；b)在实例故障、节点故障等单数据库实例故障时，RPO 时间等于 0，RTO 时间小于 30s。</w:t>
            </w:r>
          </w:p>
          <w:p w14:paraId="4F2847D3">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39.★容灾部署：a)提供远程容灾部署与管理功能；b)提供生产中心与备份中心之间的容灾部署与管理功能。</w:t>
            </w:r>
          </w:p>
          <w:p w14:paraId="6EA5B887">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40.★同城容灾：a)支持同城双中心部署，当主中心故障时，业务切换到备中心；b)由于网络、供电等原因造成的可用区级故障，触发集群计划外停机，在同城多可用区场景下，RPO时间等于0，RTO时间小于1分钟。</w:t>
            </w:r>
          </w:p>
          <w:p w14:paraId="0EC5306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41.★服务端编程稳定性：支持当用户自定义的存储过程、函数运行异常时，数据库稳定运行。</w:t>
            </w:r>
          </w:p>
          <w:p w14:paraId="6F103A5D">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42.★网络容错：支持网络中断时，保障事务一致性。</w:t>
            </w:r>
          </w:p>
          <w:p w14:paraId="3C439EA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43.★检测报警：a)支持数据库实例启动时错误检测能力；b)支持加载不同文件格式、不同大小数据出现错误时的故障检测和处理能力；c)支持数据库备份执行过程中发生故障时报错或者报警能力；d)支持数据库恢复发生故障时报错或者报警能力。</w:t>
            </w:r>
          </w:p>
          <w:p w14:paraId="1BF084AD">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44.★故障恢复：a) 系统故障重启后能正常运行且支持数据一致性；b)支持完全媒体故障恢复的能力；c)提供基于时间点故障恢复功能。</w:t>
            </w:r>
          </w:p>
          <w:p w14:paraId="44D47811">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45.★不同级别故障可恢复：支持数据库事务故障、系统故障、存储媒体故障不同级别的可恢复能力。</w:t>
            </w:r>
          </w:p>
          <w:p w14:paraId="16E891F6">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46.★硬件平台兼容：a)同源支持以下至少三种CPU平台架构：1) ARM；2)LoongArch；3)MIPS；</w:t>
            </w:r>
          </w:p>
          <w:p w14:paraId="3C0A22EF">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4)SW64；5)x86；b)支持 SMP 和 NUMA 的运行环境。</w:t>
            </w:r>
          </w:p>
          <w:p w14:paraId="37925D7C">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47.★标准兼容：支持ODBC、JDBC。</w:t>
            </w:r>
          </w:p>
          <w:p w14:paraId="664B0778">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48.★交付方式：以光盘、便携式移动设备、镜像文件、在线下载等交付方式提供产品交付物。</w:t>
            </w:r>
          </w:p>
          <w:p w14:paraId="092AA68F">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49.★服务周期：产品自发布之日起至产品停止功能升级（包含不限于新特性、新硬件支持、问题修复、安全补丁等）之日止≥5年；产品停止功能升级之日起至产品停止</w:t>
            </w:r>
          </w:p>
          <w:p w14:paraId="666F063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功能维护（包括问题修复、安全补丁等）之日止≥4年；产品功能维护停止之日起至产品停止安全维护（包括中高风险漏洞修复）之日止≥2年；自销售之日起，产品售后服务周期≥6年。</w:t>
            </w:r>
          </w:p>
          <w:p w14:paraId="6E4BC8CE">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50.★供应链与服务保障基础要求：a)提供多种形式支持服务，包含电话、电子邮件、远程连接等；b)提供技术支持服务，支持同城 4h、异地 12h 响应要求，两个工作日解决问题，对于未能解决的问题和故障提供可行的升级方案；c)提供培训材料、产品手册、培训视频等培训相关内容；d)建立全国技术服务体系和服务团队，符合专业服务体系标准要求，提供原厂中文服务；e)服务周期内支持版本免费升级；f)开源产品对获得的社区源代码进行安全性和知识产权审查与管理；g)提供数据库参数、慢 SQL 语句的性能优化指南，包含性能优化的具体措施、技巧、案例及建议等。</w:t>
            </w:r>
          </w:p>
          <w:p w14:paraId="149169D9">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51.★基本要求：数据库应当符合安全可靠测评要求。</w:t>
            </w:r>
          </w:p>
          <w:p w14:paraId="28039715">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52.★漏洞管理：建立漏洞管理机制，及时通过邮件、网站等方式将安全漏洞告知用户，并提供安全补丁对漏洞进行修复。</w:t>
            </w:r>
          </w:p>
          <w:p w14:paraId="10577B64">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53.★身份鉴别及访问控制：提供身份鉴别及访问控制，加解密的密码要求符合GM/T0028 的相关规定。</w:t>
            </w:r>
          </w:p>
        </w:tc>
        <w:tc>
          <w:tcPr>
            <w:tcW w:w="831" w:type="dxa"/>
            <w:vAlign w:val="center"/>
          </w:tcPr>
          <w:p w14:paraId="39B39C8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6套</w:t>
            </w:r>
          </w:p>
        </w:tc>
      </w:tr>
      <w:tr w14:paraId="323F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4" w:type="dxa"/>
            <w:vAlign w:val="center"/>
          </w:tcPr>
          <w:p w14:paraId="76C848B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521" w:type="dxa"/>
            <w:vAlign w:val="center"/>
          </w:tcPr>
          <w:p w14:paraId="5E671252">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应用中间件</w:t>
            </w:r>
          </w:p>
        </w:tc>
        <w:tc>
          <w:tcPr>
            <w:tcW w:w="4946" w:type="dxa"/>
            <w:vAlign w:val="center"/>
          </w:tcPr>
          <w:p w14:paraId="764F82CD">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1、国产应用中间件，支持C86（海光）、ARM(飞腾、鲲鹏)等国产CPU架构；</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2、数据库兼容性:支持达梦、金仓、神通、南大通用等国产数据库。</w:t>
            </w:r>
          </w:p>
        </w:tc>
        <w:tc>
          <w:tcPr>
            <w:tcW w:w="831" w:type="dxa"/>
            <w:vAlign w:val="center"/>
          </w:tcPr>
          <w:p w14:paraId="0F21F08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3套</w:t>
            </w:r>
          </w:p>
        </w:tc>
      </w:tr>
      <w:tr w14:paraId="39E4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4" w:type="dxa"/>
            <w:vAlign w:val="center"/>
          </w:tcPr>
          <w:p w14:paraId="348B74F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521" w:type="dxa"/>
            <w:vAlign w:val="center"/>
          </w:tcPr>
          <w:p w14:paraId="4933C081">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国产化操作系统</w:t>
            </w:r>
          </w:p>
        </w:tc>
        <w:tc>
          <w:tcPr>
            <w:tcW w:w="4946" w:type="dxa"/>
            <w:vAlign w:val="center"/>
          </w:tcPr>
          <w:p w14:paraId="7177310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1.★操作系统支持多CPU架构：操作系统支持同源兼容ARM、x86架构的CPU。</w:t>
            </w:r>
          </w:p>
          <w:p w14:paraId="7463198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2.★多核支持：操作系统支持双核及多核处理器，包括核间负载均衡、线程绑定等，并提供接口，通过访问接口获取运行状态和控制多核调度。</w:t>
            </w:r>
          </w:p>
          <w:p w14:paraId="2F4A1BB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3.★CPU虚拟化支持：操作系统支持CPU虚拟化技术。</w:t>
            </w:r>
          </w:p>
          <w:p w14:paraId="67B5B76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4.★动态调节CPU运行频率：操作系统根据负载情况，自动调节 CPU的运行频率。</w:t>
            </w:r>
          </w:p>
          <w:p w14:paraId="40C0451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5.★支持多CPU：支持跨路内存访问，支持CPU间负载均衡，支持并优化NUMA体系架构。</w:t>
            </w:r>
          </w:p>
          <w:p w14:paraId="64481965">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6.★支持CPU内置安全功能：操作系统支持 CPU 硬件密码运算与随机数生成等功能；提供编程接口供应用程序调用；支持通过硬件指令判别临界区冲突；支持调用 CPU 指令，实现自旋锁。</w:t>
            </w:r>
          </w:p>
          <w:p w14:paraId="34393C5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7.★安装方式：操作系统支持光盘安装、USB 闪存盘安装、网络安装和无人值守安装。</w:t>
            </w:r>
          </w:p>
          <w:p w14:paraId="4133C69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8.★安装模式：操作系统支持图形或文本安装模式。</w:t>
            </w:r>
          </w:p>
          <w:p w14:paraId="3EF3C66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9.★安装过程配置：操作系统支持安装界面文种设置、逻辑分区配置（如 LVM）、自定义分区设置、安装组件设置、时区设置、键盘布局设置、初始用户设置、计算机名设置和网络设置，支持通过 USB 闪存盘等方式加载硬件驱动、支持设置加密文件系统。</w:t>
            </w:r>
          </w:p>
          <w:p w14:paraId="33AF34D6">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10.★系统引导：a)操作系统应支持 UEFI2.0 及以上规范固件引导，当计算机以 UEFI 模式启动安装时，安装程序应分配 ESP，并在 ESP中放置启动引导文件，使系统能以UEFI模式引导；b)支持bootloader引导，支持MBR及GPT。</w:t>
            </w:r>
          </w:p>
          <w:p w14:paraId="66101C0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11.★引导修复：操作系统安装媒体提供系统引导修复功能，当已安装的系统引导被破坏时，可重建系统引导。</w:t>
            </w:r>
          </w:p>
          <w:p w14:paraId="6EAF4D43">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12.★引导参数编辑：操作系统支持用户编辑引导参数，支持GRUB 口令保护。</w:t>
            </w:r>
          </w:p>
          <w:p w14:paraId="24882F9E">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13.★数据保护：安装程序在安装执行前明确提示用户可能会删除已有数据，并提供退出/取消功能，当用户取消安装时，不改变硬盘上已有数据。</w:t>
            </w:r>
          </w:p>
          <w:p w14:paraId="38EC035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14.★分辨率自适应：操作系统安装完成后应自动适配显示器最佳分辨率(文本模式除外)。</w:t>
            </w:r>
          </w:p>
          <w:p w14:paraId="46F234A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15.★安装配置正确性校验：操作系统安装和配置过程中，如用户自定义的某些配置可能会影响系统启动或正常使用，予以明确提示。</w:t>
            </w:r>
          </w:p>
          <w:p w14:paraId="750A804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16.★系统内核要求：a)若操作系统是基于 Linux 内核的服务器操作系统应兼容 4.19 版内核；b)若操作系统属于其他类型内核不做要求。</w:t>
            </w:r>
          </w:p>
          <w:p w14:paraId="445278A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17.★进程、线程调度：操作系统支持基于 NUMA 的亲和调度；操作系统支持 CPU 多核轮询调度；操作系统具备进程优先级动态调整能力，允许在进程运行时对优先级进行调整；区分实时进程与非实时进程，分别进行调度；支持进程运行状态检查。</w:t>
            </w:r>
          </w:p>
          <w:p w14:paraId="6931682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18.★内存管理：操作系统支持最大内存不小于 4TB；操作系统允许应用申请内存大页降低页表转换；操作系统支持 NUMA 近节点优化；</w:t>
            </w:r>
          </w:p>
          <w:p w14:paraId="2AEF3C5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19.★RAID 支持：操作系统支持硬 RAID 和软 RAID，支持软 RAID 级别 0、1、5、6、10。</w:t>
            </w:r>
          </w:p>
          <w:p w14:paraId="647781B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20.★虚拟文件系统：操作系统支持将不同功能的外部设备抽象为统一的文件操作接口，包括存储、输入输出设备。</w:t>
            </w:r>
          </w:p>
          <w:p w14:paraId="4571F31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21.★文件管理：操作系统支持文件存储、检索和共享。</w:t>
            </w:r>
          </w:p>
          <w:p w14:paraId="6F86ECB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22.★可移动存储：操作系统支持对可移动外部存储的管理，包括启停、禁用、恢复等。</w:t>
            </w:r>
          </w:p>
          <w:p w14:paraId="29937753">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23.★外部独立存储：操作系统支持使用外部独立存储设备。</w:t>
            </w:r>
          </w:p>
          <w:p w14:paraId="3988084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24.★多路径聚合：操作系统支持存储多路径聚合及 I/O动态负载均衡。</w:t>
            </w:r>
          </w:p>
          <w:p w14:paraId="2BBF171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25.★故障检测：操作系统支持硬盘损坏或老化检测及信息收集。</w:t>
            </w:r>
          </w:p>
          <w:p w14:paraId="5392137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26.★虚拟内存：操作系统支持将硬盘的特定分区或文件作为虚拟扩展内存用于存放内存数据，支持虚拟内存压缩。</w:t>
            </w:r>
          </w:p>
          <w:p w14:paraId="18C4232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27.★网络块设备挂载：操作系统支持 FCoE、iSCSI，支持将 Ceph块设备视为常规存储设备挂载到某个目录并作为标准文件系统使用。</w:t>
            </w:r>
          </w:p>
          <w:p w14:paraId="746E1866">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28.★网络管理：操作系统支持网络链路故障检测、链路事件通知和链路状态查询；操作系统支持运行 TCP 协议卸载引擎的网卡；操作系统支持多网卡绑定；</w:t>
            </w:r>
          </w:p>
          <w:p w14:paraId="7DFD8456">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29.★文件系统：操作系统支持 XFS、EXT3、EXT4、NTFS、FAT32 等文件系统，支持相应格式分区创建、删除、格式化等；操作系统支持日志式文件系统；操作系统支持最大文件不小于 4TB，最大分区与文件系统不小于 10PB，最大文件名长度不小于 255 字节；操作系统支持动态调整分区大小，对系统分区容量进行改变。</w:t>
            </w:r>
          </w:p>
          <w:p w14:paraId="4B45C66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30.★集成开发环境/开发框架：操作系统通过内置、软件仓库或附加光盘等方式提供开发环境，包括 Qt、Eclipse、VSCode 等。</w:t>
            </w:r>
          </w:p>
          <w:p w14:paraId="3BE5C61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31.★开发工具库：操作系统通过内置、软件仓库或附加光盘等方式提供开发库，包括 GNU C、GNUC++、Java、Qt 、Gtk+、Cairo、OpenGL、Perl、Python、Ruby、Rust、Golang、JS 等。</w:t>
            </w:r>
          </w:p>
          <w:p w14:paraId="0C1971A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32.★编译器开发工具：操作系统通过内置、软件仓库或附加光盘等方式提供编译开发工具，包括 GCC、G++、Binutils、GDB、Make、CMake 等。</w:t>
            </w:r>
          </w:p>
          <w:p w14:paraId="1748E32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33.★文本编辑工具：操作系统通过内置、软件仓库或附加光盘等方式提供文本编辑工具，包括Emacs、Vim 等。</w:t>
            </w:r>
          </w:p>
          <w:p w14:paraId="4F7D0763">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34.★软件包管理：操作系统支持查询软件包描述和包含文件，以及软件包依赖；支持在安装时自动提示并下载安装缺失的依赖软件包。</w:t>
            </w:r>
          </w:p>
          <w:p w14:paraId="2F92320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35.★开发文档：供应商应提供软件开发参考文档、驱动开发参考文档、应用移植开发文档、API文档。</w:t>
            </w:r>
          </w:p>
          <w:p w14:paraId="6965293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36.★网络服务：操作系统支持TCP/UDP。</w:t>
            </w:r>
          </w:p>
          <w:p w14:paraId="4823DB43">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37.★网络共享：操作系统支持基于NFS、SMB、FTP、CIFS等协议的数据网络共享服务。</w:t>
            </w:r>
          </w:p>
          <w:p w14:paraId="2563EEA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38.★WEB 服务：操作系统支持基于HTTP、HTTPS、 FastCGI等协议WEB服务。</w:t>
            </w:r>
          </w:p>
          <w:p w14:paraId="7AB6794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39.★加密传输服务：操作系统支持基于IPSec和SSL协议的隧道加密传输服务。</w:t>
            </w:r>
          </w:p>
          <w:p w14:paraId="7912FA28">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40.★数字证书服务：操作系统支持基于PKI体系的数字证书服务。</w:t>
            </w:r>
          </w:p>
          <w:p w14:paraId="752DCBE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41.★访问控制服务：操作系统支持基于RBAC(基于角色的访 问控制)机制的访问控制服务。</w:t>
            </w:r>
          </w:p>
          <w:p w14:paraId="04CBC92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42.★网络管理服务：操作系统支持基于SNMP、NETCONF、 RESTCONF等协议的网络管理服务。</w:t>
            </w:r>
          </w:p>
          <w:p w14:paraId="6C8BAC1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43.★时间同步服务：操作系统支持基于NTP协议网络时间同步服务。</w:t>
            </w:r>
          </w:p>
          <w:p w14:paraId="1C3758C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44.★远程连接服务：操作系统支持RPC、rsync、SSH等远程服务。</w:t>
            </w:r>
          </w:p>
          <w:p w14:paraId="4C460C8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45.★邮件服务：操作系统支持基于SMTP、POP3、IMAP等的邮件服务。</w:t>
            </w:r>
          </w:p>
          <w:p w14:paraId="47B8F05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46.★身份鉴别服务：操作系统支持基于轻量级目录访问协 议的统一身份鉴别服务。</w:t>
            </w:r>
          </w:p>
          <w:p w14:paraId="47FC210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47.★数据存储和查询服务：操作系统支持结构化和非结构化格式数据的存储和查询服务；操作系统支持块、文件、对象等类型的数据存储服务；操作系统支持SQL、NoSQL、键值等类型的数据库。</w:t>
            </w:r>
          </w:p>
          <w:p w14:paraId="39C50D9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48.★存储服务：操作系统支持多种传输速率和存储协议的SAN和NAS存储。</w:t>
            </w:r>
          </w:p>
          <w:p w14:paraId="6506D15F">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49.★集群支持：操作系统支持服务基于主备机制的分 布式集群、高可用集群的部署模式；操作系统支持服务基于分布式通信协 议的分布式集群、高可用集群的部署模式；操作系统支持基于虚拟路由器冗余协议的高可用集群部署模式。</w:t>
            </w:r>
          </w:p>
          <w:p w14:paraId="054DC8C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50.★分布式服务：操作系统支持基于同步、异步请求处理 机制的分布式服务。</w:t>
            </w:r>
          </w:p>
          <w:p w14:paraId="0D2B3CE5">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51.★负载均衡模式：操作系统支持基于OSI模型的4/7层和链路层的负载均衡模式；操作系统支持基于不同调度算法的负载均衡模式。</w:t>
            </w:r>
          </w:p>
          <w:p w14:paraId="6B8CB47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52.★高可用服务：操作系统提供对HA的支持，支持多种集群配置模式，包括主主模式、主备模式、N+1模式和N+M模式，支持资源及节点故障检测。</w:t>
            </w:r>
          </w:p>
          <w:p w14:paraId="5A6C536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53.★虚拟化部署：操作系统支持在KVM、Xen、Hyper-V虚拟机上安装部署操作系统。</w:t>
            </w:r>
          </w:p>
          <w:p w14:paraId="33DFA80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54.★内核虚拟化(KVM)：操作系统支持KVM虚拟化：对虚拟机进行启、停等管理操作；对虚拟机硬盘做快照并从快照恢复；兼容qemu、libvirt标准接口；支持UEFI或legacy BIOS方式启动；支持虚拟时钟arch-timer；支持虚拟鼠标、键盘、触控板、声卡、显卡、硬盘、CDROM、串口pty/pipe/file 等设备； 支持Virtio协议下的虚拟设备，包括 串口、blk驱动硬盘、SCSI 驱动硬盘、不同后端控制器类型的Virtio网卡(包括内核态、用户态、qemu)、GPU、vsock设备等；支持硬盘和网卡选择类型VFIO设备；支持虚拟机CPU、内存、网卡、硬盘等离线调整；支持虚拟机网卡、硬盘、USB设备热插拔；支持PCI/PCIE设备直通；支持虚拟机热迁移和加密传输；支持虚拟机远程访问；支持虚拟机CPU和I/O线程绑定。</w:t>
            </w:r>
          </w:p>
          <w:p w14:paraId="4ECAF278">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55.★KVM虚拟机管理：操作系统支持虚拟机对主机的访问控制；虚拟机可以拥有独立的物理资源，且各个虚拟机之间严格隔离；支持大页内存运行虚拟机；支持三种CPU型号模拟模式，包括直通、宿主模型、自定义；支持虚拟机资源调配控制，包括Numa、CPU、内存、I/O、网卡；支持CPU拓扑模拟和透传。</w:t>
            </w:r>
          </w:p>
          <w:p w14:paraId="27B622E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56.★容器虚拟化：操作系统支持OCI；支持进程命名空间隔离技术包括不限于mnt、pid、ipc、uts、user、network等；支持在同CPU指令架构下的不同规格硬件上无缝分发，保障运行兼容性；支持沙箱扩展；支持面向容器的独立逻辑文件管理，具备在容器创建时指定专用根文件夹，容器内进程文件访问重定向等功能；支持日志查询功能；支持通过控制终端对容器内主进程的标准输入输出对接交互； 支持通过控制终端对容器内新建进程的标准输入输出对接交互；支持容器存储卷管理（新增、删除、卷容量配置、自动回收）、卷共享；支持面向容器的网络设备资源分配和使用；支持CNI；支持容器获取物理节点资源信息。</w:t>
            </w:r>
          </w:p>
          <w:p w14:paraId="3B2B195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57.★容器镜像和存储管理：操作系统支持容器镜像导入、导出；支持容器镜像分层保存、导入。</w:t>
            </w:r>
          </w:p>
          <w:p w14:paraId="76F2B33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58.★容器资源隔离和调配：操作系统支持容器资源在线调整，包括CPU资源、内存资源、I/O资源等；支持文件配额分配、存储带宽资源使用量监控等机制，实现容器级I/O控制能力；支持面向容器的网络带宽调度策略，实现容器级网络带宽分配、使用量监控等机制；支持面向容器的存储空间使用监控、分配机制；支持容器CPU核独占；支持面向容器的CPU时间片资源按需划分机制；支持面向容器的内存分配和回收机制，实现内存使用量跟踪和管理；支持同一集群在线、离线业务混合部署；支持对容器的编排、负载均衡、调度等能力；支持根据容器在线与离线混合部署状态进行资源优先调度，提高计算机资源利用率。</w:t>
            </w:r>
          </w:p>
          <w:p w14:paraId="3078526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59.★中文支持：操作系统应符合GB 18030的要求；操作系统内置中文帮助文档；操作系统的多文种图形用户界面应支持GB 18030规定；操作系统支持中文图形操作界面。</w:t>
            </w:r>
          </w:p>
          <w:p w14:paraId="6BC33A02">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60.★系统信息查看工具：操作系统支持查看系统版本、内核版本、内存容量、CPU 型号等信息。</w:t>
            </w:r>
          </w:p>
          <w:p w14:paraId="2D14653E">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61.★网络管理工具：操作系统支持多网口自动连接、网络地址（常被称为“IP 地址”）设置、DNS 设置、路由设置；支持多网卡链路聚合，模式类型包括但不仅限于轮询、主备、 802.3AD 动态链路聚合。</w:t>
            </w:r>
          </w:p>
          <w:p w14:paraId="4AFAC19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62.★日期和时间管理工具：操作系统可设置时间同步服务器地址，支持局域网和广域网的同步设置。</w:t>
            </w:r>
          </w:p>
          <w:p w14:paraId="025758C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63.★日志服务管理工具：操作系统支持收集系统日志。</w:t>
            </w:r>
          </w:p>
          <w:p w14:paraId="2BB187B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64.★帐户管理工具：操作系统支持帐户添加、删除、属性修改等。</w:t>
            </w:r>
          </w:p>
          <w:p w14:paraId="4F4A0F1E">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65.★用户操作审计工具：操作系统支持用户操作痕迹查询。</w:t>
            </w:r>
          </w:p>
          <w:p w14:paraId="7353B15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66.★存储管理工具：操作系统支持EXT、XFS、NTFS、FAT、SWAP等多种格式的分区管理。</w:t>
            </w:r>
          </w:p>
          <w:p w14:paraId="5CB639D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67.★SNMP协议工具包：操作系统支持SNMP设备和操作信息检索。</w:t>
            </w:r>
          </w:p>
          <w:p w14:paraId="32929B1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68.★文本终端连接工具：操作系统支持多终端协同管理。</w:t>
            </w:r>
          </w:p>
          <w:p w14:paraId="17AEFF4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69.★服务管理工具集：操作系统支持服务启动与停止，查看服务状态及日志，查询服务启动顺序及依赖关系。</w:t>
            </w:r>
          </w:p>
          <w:p w14:paraId="1915A15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70.★配置管理工具：操作系统提供配置管理工具，可以简化 任务配置及服务管理。</w:t>
            </w:r>
          </w:p>
          <w:p w14:paraId="3541E226">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71.★监控管理工具：操作系统支持监控系统资源使用情况，包含CPU、内存、存储I/O、网络I/O等。</w:t>
            </w:r>
          </w:p>
          <w:p w14:paraId="4E17E21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72.★守护进程：操作系统支持按需启动守护进程，用户可自定义设定需求守护的进程，如遇异常可重新加载，实现应用持续运行。</w:t>
            </w:r>
          </w:p>
          <w:p w14:paraId="77A5B48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73.★基础组件兼容：操作系统基础运行库或开发环境向后（向下）兼容，即系统版本升级后，能兼容上一版本所运行的软件与设备；操作系统主版本兼容维护时间自发布之日起不低于5年，包括但不限于安全修复、功能升级、新硬件支持等。</w:t>
            </w:r>
          </w:p>
          <w:p w14:paraId="6EE3A59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74.★运行环境：供应商应给出长期兼容支持的文件系统层次结构；供应商应给出长期兼容支持的运行库；供应商应给出长期兼容支持的常用命令。</w:t>
            </w:r>
          </w:p>
          <w:p w14:paraId="52168F8B">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75.★软件兼容：供应商提供兼容的集群软件清单，且至少兼容一款产品；供应商提供兼容的虚拟化平台软件清单，且至少兼容三款产品；供应商提供兼容的容器云软件清单，且至少兼容三款产品；供应商提供兼容的存储软件清单，且至少兼容一款产品；供应商提供兼容的数据库软件清单，且至少兼容三款产品；供应商提供兼容的中间件软件清单，且至少兼容三款产品；供应商提供兼容的运维平台软件清单，且至少兼容一款产品；供应商提供兼容的备份恢复软件清单，且至少兼容一款产品；供应商提供兼容的大数据平台软件清单，且至少兼容一款产品；供应商提供兼容的终端防护及杀毒软 件清单，且至少兼容一款产品；供应商提供兼容的网络防护软件清单，且至少兼容一款产品；供应商提供兼容的身份认证软件清单，且至少兼容一款产品。</w:t>
            </w:r>
          </w:p>
          <w:p w14:paraId="283EFE6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76.★硬件兼容：供应商提供兼容的服务器整机品牌及型号清单，且至少兼容一款产品；供应商提供兼容的AI服务器整机品牌及型号清单，且至少兼容一款产品；供应商提供兼容的存储服务器整机品牌及型号清单，且至少兼容一款产品；供应商提供兼容的系统总线、HBA卡、 RAID卡、网卡、光纤卡、AI加速卡、GPU、NPU等品牌及型号清单。</w:t>
            </w:r>
          </w:p>
          <w:p w14:paraId="4C86477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77.★稳定性：操作系统高负载下连续常态运行168小时无故障。</w:t>
            </w:r>
          </w:p>
          <w:p w14:paraId="70413A9F">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78.★备份还原：操作系统提供备份还原功能，支持生成系统状态快照及恢复系统状态。</w:t>
            </w:r>
          </w:p>
          <w:p w14:paraId="004C35E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79.★内存纠错：操作系统支持DDR3、DDR4等内存上的ECC查错、纠错。</w:t>
            </w:r>
          </w:p>
          <w:p w14:paraId="766AAF9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80.★热插拔：硬件支持时，操作系统支持硬盘热插拔。</w:t>
            </w:r>
          </w:p>
          <w:p w14:paraId="16290AF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81.★远程维护：操作系统提供远程控制管理工具，支持RDP、SSH、SPICE、VNC等协议，方便用户进行文本或图形化形式的远程连接及维护。</w:t>
            </w:r>
          </w:p>
          <w:p w14:paraId="5A3412E5">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82.★文件完整检查：操作系统提供文件系统检查工具，对文件系统完整性进行检测和修复。</w:t>
            </w:r>
          </w:p>
          <w:p w14:paraId="28A3C6E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83.★内核分析：操作系统提供内核性能分析工具，提供性能分析框架，支持对内核函数层面进行分析；提供内核探测工具，支持对内核及用户态程序动态追踪。</w:t>
            </w:r>
          </w:p>
          <w:p w14:paraId="764D530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84.★日志记录与存储：操作系统支持对安全事件的日志记录，包括帐户增删改、成功登录、失败登录、敏感服务开启关闭、配置修改等，日志信息详实，包括所属用户、访问时间、访问地址等；支持内核异常日志信息的记录和存储；支持内核崩溃转储机制， 系统崩溃时可收集整个内存信息；支持配置远程日志功能，可将指定日志内容归档到日志服务器；支持对日志功能进行访问控制，防止未经授权的访问。</w:t>
            </w:r>
          </w:p>
          <w:p w14:paraId="44B274E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85.★日志处理与分析：操作系统提供系统错误问题回溯分析工具，对系统崩溃问题及错误问题进行回溯；支持日志切分、一键收集、转储、同步机制。</w:t>
            </w:r>
          </w:p>
          <w:p w14:paraId="0422F9C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86.★脆弱性管理：操作系统提供故障管理框架，内置故障分析专家系统，可与外部同类型系统互联；具备故障响应、故障警告功能，提供用户接口，支持故障响应、警告信息分发；支持故障管理守护进程，使用统一的传输信道或机制上报故障信息；具备硬件故障信息捕获、紧急处理功能，包括CPU、内存及PCIe设备等硬件的故障；支持诊断/响应组件动态加载机制；提供或支持第三方远程诊断框架及调测工具集，实现远程诊断及调试断点功能；支持物理机、虚拟机中操作系统的故障恢复。</w:t>
            </w:r>
          </w:p>
          <w:p w14:paraId="023D2438">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87.★热补丁：操作系统支持对内核热补丁进行编号，每个热补丁拥有独立编号；支持增量修复以及回滚机制；提供热补丁合法性和一致性校验功能；提供热补丁管理机制和工具，功能至少覆盖补丁查询、安装、移除；提供热补丁升级和回滚系统日志，便于查询或回溯。</w:t>
            </w:r>
          </w:p>
          <w:p w14:paraId="66E81F44">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88.★系统升级：操作系统支持系统增量升级功能，对系统部件、安全补丁等升级；操作系统支持在线升级和离线升级；操作系统升级不得修改破坏用户数据；操作系统升级不得影响原有软硬件兼容性，如有影响应显式的提示告知用户；操作系统提供升级回退机制，能卸载已升级的软件包，恢复系统原有状态，如升级为不可回退，则系统升级前以显式 的提示告知用户。</w:t>
            </w:r>
          </w:p>
          <w:p w14:paraId="22D234F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89.★交付方式：供应商提供光盘、USB 闪存盘、镜像文件（下载）等交付方式。</w:t>
            </w:r>
          </w:p>
          <w:p w14:paraId="7790E49A">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90.★服务周期：产品自发布之日起至产品停止功能升级（包含不限于新特性、新硬件支持、问题修复、安全补丁等）之日止≥5年；产品停止功能升级之日起至产品停止功能维护（包括问题修复、安全补丁等） 之日止≥5年；产品延伸安全服务周期≥3年；售后服务最小保障期≥8年。</w:t>
            </w:r>
          </w:p>
          <w:p w14:paraId="7667AC21">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91.★售后服务：服务由操作系统厂商的正式员工提供，不由代理商提供；操作系统厂商为最终用户提供工作日每日不少于8h（覆盖一般工作时间，具体时间由企业标准给出）中文技术服务热线；操作系统厂商提供工作日每日不少于8h技术支持服务；操作系统厂商满足同城4h、异地12h响要求，两个工作日解决问题，对于未能解决的问题和故障提供可行的升级方案；发生非人为因素故障，在七日内由操作系统厂商原厂人员免费对产品进行补充或更换。</w:t>
            </w:r>
          </w:p>
          <w:p w14:paraId="46C779F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现场交付与安装调试：操作系统厂商提供产品安装与现场调试，并提供安装与调试所需的工具和设备；交付产品时操作系统厂商提供配套的技术资料，包括但不限于系统说明文件、用户手册（用户安装、操作、维护、故障排除）等。</w:t>
            </w:r>
          </w:p>
          <w:p w14:paraId="6E221C10">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93.★系统更换：服务期内，操作系统厂商支持版本免费更换（注：更换后不延长服务期）。</w:t>
            </w:r>
          </w:p>
          <w:p w14:paraId="1CAACAB5">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94.★厂商能力要求：操作系统厂商建立全国技术服务体系和服务团队，为客户提供专业的原厂中文服务。</w:t>
            </w:r>
          </w:p>
          <w:p w14:paraId="6197475F">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95.★数据安全保障：除用户授权采集的信息外不采集其他数据，相关信息采集无安全风险，相关数据存储在大陆境内；涉及数据下载的线上服务物理服务器不出境，包括代码仓库、系统补丁、安全补丁、服务网站等。</w:t>
            </w:r>
          </w:p>
          <w:p w14:paraId="5C461F29">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96.★代码无风险：操作系统厂商提供源代码，源代码可供第三方机构审查，开源许可合规，代码知识产权无风险，无恶意安全漏洞或后门，代码可追溯、可重构。</w:t>
            </w:r>
          </w:p>
          <w:p w14:paraId="248869DE">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97.★基本要求：操作系统应当符合安全可靠测评要求。</w:t>
            </w:r>
          </w:p>
          <w:p w14:paraId="386DA70D">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98.★密码算法支持：操作系统支持GM/T 0002、GM/T 0003和GM/T 0004规定的密码算法运算；操作系统随机数质量符合GM/T 0005《随 机性检测规范》或 GB/T32915《信息安全技术二元序列随机性检测方法》；操作系统内置国家电子认证根CA的根证书；操作系统支持符合GB/T 38636—2020的TLCP。</w:t>
            </w:r>
          </w:p>
          <w:p w14:paraId="49F6E5FF">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99.★安全管理：操作系统提供防火墙配置管理工具，支持基于协议、网络地址、端口的访问控制规则配置，规则修改后立即生效；支持关闭指定服务和端口，包括但不限于关闭远程访问、共享访问等；支持防止ARP欺骗攻击；操作系统提供统一访问控制安全框架。</w:t>
            </w:r>
          </w:p>
          <w:p w14:paraId="1B7BD0D6">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100.★身份鉴别：用户标识使用帐户名和帐户ID，在操作系统的整个生存周期内用户标识具有唯一性；支持用户口令复杂度校验及强口令管理；支持用户口令有效期配置；支持口令鉴别失败控制；支持口令加密算法配置，用户口令进行加密后以不可逆的密文形式保存；支持禁止根帐户（root）远程登录设置。</w:t>
            </w:r>
          </w:p>
          <w:p w14:paraId="7AD20617">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101.★自主访问控制：允许客体拥有者以普通帐户决定并控制对客体的访问，并阻止非授权用户对客体的访问；普通用户缺省拥有新建、读写和删除私有目录下文件的权限；支 持细粒度的自主访问控制，将访问控制的粒度控制在单个用户，对系统中的每一个客体，实现由客体拥有者以指定用户方式确定其对该客体的访问权限，而其他同组用户或非同组的用户和用户组对该客体的访问权则由客体拥有者授予。</w:t>
            </w:r>
          </w:p>
          <w:p w14:paraId="4DE7451C">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102.★强制访问控制：操作系统支持对应用程序的访问控制与资源限制，包括对文件、网络等客体的访问控制；支持应用安装控制、应用执行控制。</w:t>
            </w:r>
          </w:p>
          <w:p w14:paraId="523A8AB5">
            <w:pPr>
              <w:keepNext w:val="0"/>
              <w:keepLines w:val="0"/>
              <w:pageBreakBefore w:val="0"/>
              <w:widowControl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103.★安全审计：操作系统能对身份鉴别的使用、自主访问控制、标记和强制访问控制策略的修改等生成审计日志；审计记录包括：事件类型、事件发生的日期、触发事件的用户、事件成功或失败等字段；支持审计日志查询和导出功能。</w:t>
            </w:r>
          </w:p>
          <w:p w14:paraId="32C6199D">
            <w:pPr>
              <w:keepNext w:val="0"/>
              <w:keepLines w:val="0"/>
              <w:pageBreakBefore w:val="0"/>
              <w:widowControl w:val="0"/>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漏洞管理：操作系统支持漏洞编号，每个漏洞独立编号，可直接使用NVDB、CNVD或CVE编号；漏洞提醒，发现或获悉漏洞信息时，通过系统推送、电子邮件或官方网站等方式通知用户；漏洞修复，对已发现的安全漏洞通过补丁等方式对系统漏洞进行修复；漏洞列表，提供每个版本已修复的漏洞列表，提供命令或网页等方式方便用户查询漏洞及其修复情况。</w:t>
            </w:r>
          </w:p>
        </w:tc>
        <w:tc>
          <w:tcPr>
            <w:tcW w:w="831" w:type="dxa"/>
            <w:vAlign w:val="center"/>
          </w:tcPr>
          <w:p w14:paraId="3EE4CA9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9套</w:t>
            </w:r>
          </w:p>
        </w:tc>
      </w:tr>
    </w:tbl>
    <w:p w14:paraId="34A2360D">
      <w:pPr>
        <w:pStyle w:val="2"/>
        <w:bidi w:val="0"/>
        <w:ind w:left="432" w:leftChars="0" w:hanging="432" w:firstLineChars="0"/>
      </w:pPr>
      <w:bookmarkStart w:id="3" w:name="_Toc13377"/>
      <w:r>
        <w:rPr>
          <w:rFonts w:hint="eastAsia"/>
          <w:lang w:val="en-US" w:eastAsia="zh-CN"/>
        </w:rPr>
        <w:t>内外网网络改造设计</w:t>
      </w:r>
      <w:bookmarkEnd w:id="3"/>
    </w:p>
    <w:p w14:paraId="3E287F28">
      <w:pPr>
        <w:pStyle w:val="3"/>
        <w:bidi w:val="0"/>
        <w:ind w:left="575" w:leftChars="0" w:hanging="575" w:firstLineChars="0"/>
        <w:rPr>
          <w:rFonts w:hint="eastAsia"/>
        </w:rPr>
      </w:pPr>
      <w:r>
        <w:rPr>
          <w:rFonts w:hint="eastAsia"/>
          <w:lang w:val="en-US" w:eastAsia="zh-CN"/>
        </w:rPr>
        <w:t>现状概述</w:t>
      </w:r>
    </w:p>
    <w:p w14:paraId="23648A9D">
      <w:pPr>
        <w:pStyle w:val="5"/>
        <w:bidi w:val="0"/>
        <w:ind w:left="720" w:leftChars="0" w:hanging="720" w:firstLineChars="0"/>
      </w:pPr>
      <w:r>
        <w:t>现有网络架构现状</w:t>
      </w:r>
    </w:p>
    <w:p w14:paraId="76F788A8">
      <w:pPr>
        <w:ind w:firstLine="480" w:firstLineChars="200"/>
        <w:rPr>
          <w:rFonts w:hint="eastAsia" w:ascii="宋体" w:hAnsi="宋体"/>
          <w:color w:val="auto"/>
          <w:highlight w:val="none"/>
          <w:lang w:val="en-US" w:eastAsia="zh-CN"/>
        </w:rPr>
      </w:pPr>
      <w:r>
        <w:rPr>
          <w:rFonts w:hint="eastAsia" w:ascii="宋体" w:hAnsi="宋体"/>
          <w:color w:val="auto"/>
          <w:highlight w:val="none"/>
          <w:lang w:val="en-US" w:eastAsia="zh-CN"/>
        </w:rPr>
        <w:t>麻章区人民医院</w:t>
      </w:r>
      <w:r>
        <w:rPr>
          <w:rFonts w:hint="eastAsia" w:ascii="宋体" w:hAnsi="宋体"/>
          <w:color w:val="auto"/>
          <w:highlight w:val="none"/>
          <w:lang w:val="en-US"/>
        </w:rPr>
        <w:t>现有</w:t>
      </w:r>
      <w:r>
        <w:rPr>
          <w:rFonts w:hint="eastAsia" w:ascii="宋体" w:hAnsi="宋体"/>
          <w:color w:val="auto"/>
          <w:highlight w:val="none"/>
          <w:lang w:val="en-US" w:eastAsia="zh-CN"/>
        </w:rPr>
        <w:t>网络</w:t>
      </w:r>
      <w:r>
        <w:rPr>
          <w:rFonts w:hint="eastAsia" w:ascii="宋体" w:hAnsi="宋体"/>
          <w:color w:val="auto"/>
          <w:highlight w:val="none"/>
          <w:lang w:val="en-US"/>
        </w:rPr>
        <w:t>拓扑可见</w:t>
      </w:r>
      <w:r>
        <w:rPr>
          <w:rFonts w:hint="eastAsia" w:ascii="宋体" w:hAnsi="宋体"/>
          <w:color w:val="auto"/>
          <w:highlight w:val="none"/>
          <w:lang w:val="en-US" w:eastAsia="zh-CN"/>
        </w:rPr>
        <w:t>下图：</w:t>
      </w:r>
    </w:p>
    <w:p w14:paraId="3B010C4A">
      <w:pPr>
        <w:pStyle w:val="14"/>
        <w:keepNext w:val="0"/>
        <w:keepLines w:val="0"/>
        <w:widowControl/>
        <w:suppressLineNumbers w:val="0"/>
        <w:ind w:firstLine="0" w:firstLineChars="0"/>
        <w:rPr>
          <w:color w:val="auto"/>
          <w:highlight w:val="none"/>
        </w:rPr>
      </w:pPr>
      <w:r>
        <w:drawing>
          <wp:inline distT="0" distB="0" distL="114300" distR="114300">
            <wp:extent cx="5090795" cy="4660265"/>
            <wp:effectExtent l="0" t="0" r="444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090795" cy="4660265"/>
                    </a:xfrm>
                    <a:prstGeom prst="rect">
                      <a:avLst/>
                    </a:prstGeom>
                    <a:noFill/>
                    <a:ln>
                      <a:noFill/>
                    </a:ln>
                  </pic:spPr>
                </pic:pic>
              </a:graphicData>
            </a:graphic>
          </wp:inline>
        </w:drawing>
      </w:r>
    </w:p>
    <w:p w14:paraId="114B5F31">
      <w:pPr>
        <w:ind w:firstLine="480" w:firstLineChars="200"/>
        <w:rPr>
          <w:rFonts w:hint="eastAsia" w:ascii="宋体" w:hAnsi="宋体"/>
          <w:color w:val="auto"/>
          <w:highlight w:val="none"/>
          <w:lang w:val="en-US"/>
        </w:rPr>
      </w:pPr>
      <w:r>
        <w:rPr>
          <w:rFonts w:hint="eastAsia" w:ascii="宋体" w:hAnsi="宋体"/>
          <w:color w:val="auto"/>
          <w:highlight w:val="none"/>
          <w:lang w:val="en-US"/>
        </w:rPr>
        <w:t>医院医疗业务网（医技、住院、门诊业务终端、HIS/LIS/PACS 等业务系统）、办公网、</w:t>
      </w:r>
      <w:r>
        <w:rPr>
          <w:rFonts w:hint="eastAsia" w:ascii="宋体" w:hAnsi="宋体"/>
          <w:color w:val="auto"/>
          <w:highlight w:val="none"/>
          <w:lang w:val="en-US" w:eastAsia="zh-CN"/>
        </w:rPr>
        <w:t>电话网、有线电视网</w:t>
      </w:r>
      <w:r>
        <w:rPr>
          <w:rFonts w:hint="eastAsia" w:ascii="宋体" w:hAnsi="宋体"/>
          <w:color w:val="auto"/>
          <w:highlight w:val="none"/>
          <w:lang w:val="en-US"/>
        </w:rPr>
        <w:t>全部共用一套核心交换机。互联网经路由器、防火墙直接接入该套业务核心交换机，办公业务、医疗诊疗业务、无线业务均跑在同一套核心交换设备，无物理隔离，逻辑上也未实现严格的网络域彻底分离。全院汇聚层、接入层交换机均归属这一套核心交换架构，门诊、住院、医技各楼层终端，无线控制器集群均接入该核心堆叠。</w:t>
      </w:r>
    </w:p>
    <w:p w14:paraId="7B39407D">
      <w:pPr>
        <w:pStyle w:val="5"/>
        <w:bidi w:val="0"/>
        <w:ind w:left="720" w:leftChars="0" w:hanging="720" w:firstLineChars="0"/>
      </w:pPr>
      <w:r>
        <w:t>存在</w:t>
      </w:r>
      <w:r>
        <w:rPr>
          <w:rFonts w:hint="eastAsia"/>
          <w:lang w:val="en-US" w:eastAsia="zh-CN"/>
        </w:rPr>
        <w:t>问题</w:t>
      </w:r>
    </w:p>
    <w:p w14:paraId="12D89C23">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color w:val="auto"/>
          <w:highlight w:val="none"/>
          <w:lang w:val="en-US"/>
        </w:rPr>
      </w:pPr>
      <w:r>
        <w:rPr>
          <w:rFonts w:hint="eastAsia" w:ascii="宋体" w:hAnsi="宋体"/>
          <w:color w:val="auto"/>
          <w:highlight w:val="none"/>
          <w:lang w:val="en-US" w:eastAsia="zh-CN"/>
        </w:rPr>
        <w:t>（1）</w:t>
      </w:r>
      <w:r>
        <w:rPr>
          <w:rFonts w:hint="eastAsia" w:ascii="宋体" w:hAnsi="宋体"/>
          <w:color w:val="auto"/>
          <w:highlight w:val="none"/>
          <w:lang w:val="en-US"/>
        </w:rPr>
        <w:t>合规</w:t>
      </w:r>
      <w:r>
        <w:rPr>
          <w:rFonts w:hint="eastAsia" w:ascii="宋体" w:hAnsi="宋体"/>
          <w:color w:val="auto"/>
          <w:highlight w:val="none"/>
          <w:lang w:val="en-US" w:eastAsia="zh-CN"/>
        </w:rPr>
        <w:t>性风险</w:t>
      </w:r>
      <w:r>
        <w:rPr>
          <w:rFonts w:hint="eastAsia" w:ascii="宋体" w:hAnsi="宋体"/>
          <w:color w:val="auto"/>
          <w:highlight w:val="none"/>
          <w:lang w:val="en-US"/>
        </w:rPr>
        <w:t>：依据《网络安全等级保护2.0》、《医疗卫生机构网络安全管理办法》、《二级甲等医院评审标准》</w:t>
      </w:r>
      <w:r>
        <w:rPr>
          <w:rFonts w:hint="eastAsia" w:ascii="宋体" w:hAnsi="宋体"/>
          <w:color w:val="auto"/>
          <w:highlight w:val="none"/>
          <w:lang w:val="en-US" w:eastAsia="zh-CN"/>
        </w:rPr>
        <w:t>等相关</w:t>
      </w:r>
      <w:r>
        <w:rPr>
          <w:rFonts w:hint="eastAsia" w:ascii="宋体" w:hAnsi="宋体"/>
          <w:color w:val="auto"/>
          <w:highlight w:val="none"/>
          <w:lang w:val="en-US"/>
        </w:rPr>
        <w:t>要求，医疗业务网络与办公网络、互联网网络应实现物理隔离，禁止业务内网直接与互联网共用同一套核心交换设备。当前模式属于</w:t>
      </w:r>
      <w:r>
        <w:rPr>
          <w:rFonts w:hint="eastAsia" w:ascii="宋体" w:hAnsi="宋体"/>
          <w:color w:val="auto"/>
          <w:highlight w:val="none"/>
          <w:lang w:val="en-US" w:eastAsia="zh-CN"/>
        </w:rPr>
        <w:t>医疗</w:t>
      </w:r>
      <w:r>
        <w:rPr>
          <w:rFonts w:hint="eastAsia" w:ascii="宋体" w:hAnsi="宋体"/>
          <w:color w:val="auto"/>
          <w:highlight w:val="none"/>
          <w:lang w:val="en-US"/>
        </w:rPr>
        <w:t>业务网、办公网、互联网混合部署，不符合等保2.0二级（医院普遍定级）以及二甲医院信息化评审要求。</w:t>
      </w:r>
    </w:p>
    <w:p w14:paraId="6F833942">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color w:val="auto"/>
          <w:highlight w:val="none"/>
          <w:lang w:val="en-US"/>
        </w:rPr>
      </w:pPr>
      <w:r>
        <w:rPr>
          <w:rFonts w:hint="eastAsia" w:ascii="宋体" w:hAnsi="宋体"/>
          <w:color w:val="auto"/>
          <w:highlight w:val="none"/>
          <w:lang w:val="en-US" w:eastAsia="zh-CN"/>
        </w:rPr>
        <w:t>（2）</w:t>
      </w:r>
      <w:r>
        <w:rPr>
          <w:rFonts w:hint="eastAsia" w:ascii="宋体" w:hAnsi="宋体"/>
          <w:color w:val="auto"/>
          <w:highlight w:val="none"/>
          <w:lang w:val="en-US"/>
        </w:rPr>
        <w:t>业务安全风险：互联网、办公域一旦发生病毒、恶意攻击、勒索病毒，可横向扩散至 HIS、PACS、LIS 等核心医疗业务系统，会造成诊疗中断、患者数据泄露、业务瘫痪。</w:t>
      </w:r>
    </w:p>
    <w:p w14:paraId="3565E840">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color w:val="auto"/>
          <w:highlight w:val="none"/>
          <w:lang w:val="en-US"/>
        </w:rPr>
      </w:pPr>
      <w:r>
        <w:rPr>
          <w:rFonts w:hint="eastAsia" w:ascii="宋体" w:hAnsi="宋体"/>
          <w:color w:val="auto"/>
          <w:highlight w:val="none"/>
          <w:lang w:val="en-US" w:eastAsia="zh-CN"/>
        </w:rPr>
        <w:t>（3）</w:t>
      </w:r>
      <w:r>
        <w:rPr>
          <w:rFonts w:hint="eastAsia" w:ascii="宋体" w:hAnsi="宋体"/>
          <w:color w:val="auto"/>
          <w:highlight w:val="none"/>
          <w:lang w:val="en-US"/>
        </w:rPr>
        <w:t>故障影响面大：一套核心集群承载全部业务，网络攻击、配置错误、设备故障会同时影响门诊收费、住院诊疗、医技检查、办公管理全部业务。</w:t>
      </w:r>
    </w:p>
    <w:p w14:paraId="6A609169">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color w:val="auto"/>
          <w:highlight w:val="none"/>
          <w:lang w:val="en-US"/>
        </w:rPr>
      </w:pPr>
      <w:r>
        <w:rPr>
          <w:rFonts w:hint="eastAsia" w:ascii="宋体" w:hAnsi="宋体"/>
          <w:color w:val="auto"/>
          <w:highlight w:val="none"/>
          <w:lang w:val="en-US" w:eastAsia="zh-CN"/>
        </w:rPr>
        <w:t>（4）</w:t>
      </w:r>
      <w:r>
        <w:rPr>
          <w:rFonts w:hint="eastAsia" w:ascii="宋体" w:hAnsi="宋体"/>
          <w:color w:val="auto"/>
          <w:highlight w:val="none"/>
          <w:lang w:val="en-US"/>
        </w:rPr>
        <w:t>审计溯源困难：业务流量、办公上网流量混杂，无法对医疗业务访问做独立管控、日志审计，发生安全事件难以溯源处置。</w:t>
      </w:r>
    </w:p>
    <w:p w14:paraId="66D7FCE5">
      <w:pPr>
        <w:pStyle w:val="3"/>
        <w:bidi w:val="0"/>
        <w:ind w:left="575" w:leftChars="0" w:hanging="575" w:firstLineChars="0"/>
        <w:rPr>
          <w:rFonts w:hint="eastAsia"/>
        </w:rPr>
      </w:pPr>
      <w:r>
        <w:rPr>
          <w:rFonts w:hint="eastAsia"/>
          <w:lang w:val="en-US" w:eastAsia="zh-CN"/>
        </w:rPr>
        <w:t>网络改造思路</w:t>
      </w:r>
    </w:p>
    <w:p w14:paraId="4109668D">
      <w:pPr>
        <w:pStyle w:val="5"/>
        <w:bidi w:val="0"/>
        <w:ind w:left="720" w:leftChars="0" w:hanging="720" w:firstLineChars="0"/>
        <w:rPr>
          <w:rFonts w:hint="eastAsia"/>
        </w:rPr>
      </w:pPr>
      <w:r>
        <w:rPr>
          <w:rFonts w:hint="eastAsia"/>
          <w:lang w:val="en-US" w:eastAsia="zh-CN"/>
        </w:rPr>
        <w:t>外网独立硬件建设</w:t>
      </w:r>
    </w:p>
    <w:p w14:paraId="7AC897B5">
      <w:pPr>
        <w:ind w:firstLine="480" w:firstLineChars="200"/>
        <w:rPr>
          <w:rFonts w:hint="default" w:ascii="宋体" w:hAnsi="宋体"/>
          <w:color w:val="auto"/>
          <w:highlight w:val="none"/>
          <w:lang w:val="en-US" w:eastAsia="zh-CN"/>
        </w:rPr>
      </w:pPr>
      <w:r>
        <w:rPr>
          <w:rFonts w:hint="eastAsia" w:ascii="宋体" w:hAnsi="宋体"/>
          <w:color w:val="auto"/>
          <w:highlight w:val="none"/>
          <w:lang w:val="en-US" w:eastAsia="zh-CN"/>
        </w:rPr>
        <w:t>新增1台核心交换机，作为医院外网独立核心，配套新增外网汇聚交换机，各楼层部署外网接入交换机，形成一套完全</w:t>
      </w:r>
      <w:r>
        <w:rPr>
          <w:rFonts w:ascii="宋体" w:hAnsi="宋体" w:eastAsia="宋体" w:cs="宋体"/>
          <w:color w:val="auto"/>
          <w:sz w:val="24"/>
          <w:szCs w:val="24"/>
          <w:highlight w:val="none"/>
        </w:rPr>
        <w:t>独立</w:t>
      </w:r>
      <w:r>
        <w:rPr>
          <w:rFonts w:hint="eastAsia" w:ascii="宋体" w:hAnsi="宋体" w:cs="宋体"/>
          <w:color w:val="auto"/>
          <w:sz w:val="24"/>
          <w:szCs w:val="24"/>
          <w:highlight w:val="none"/>
          <w:lang w:val="en-US" w:eastAsia="zh-CN"/>
        </w:rPr>
        <w:t>的</w:t>
      </w:r>
      <w:r>
        <w:rPr>
          <w:rFonts w:ascii="宋体" w:hAnsi="宋体" w:eastAsia="宋体" w:cs="宋体"/>
          <w:color w:val="auto"/>
          <w:sz w:val="24"/>
          <w:szCs w:val="24"/>
          <w:highlight w:val="none"/>
        </w:rPr>
        <w:t>外网交换网络。外网整套设备独立，不与医疗业务内网共用任何交换机、业务板卡。互联网出口</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有线电视网</w:t>
      </w:r>
      <w:r>
        <w:rPr>
          <w:rFonts w:ascii="宋体" w:hAnsi="宋体" w:eastAsia="宋体" w:cs="宋体"/>
          <w:color w:val="auto"/>
          <w:sz w:val="24"/>
          <w:szCs w:val="24"/>
          <w:highlight w:val="none"/>
        </w:rPr>
        <w:t>全部迁移接入这套外网独立核心。</w:t>
      </w:r>
    </w:p>
    <w:p w14:paraId="156E0F2D">
      <w:pPr>
        <w:pStyle w:val="5"/>
        <w:bidi w:val="0"/>
        <w:ind w:left="720" w:leftChars="0" w:hanging="720" w:firstLineChars="0"/>
        <w:rPr>
          <w:rFonts w:hint="eastAsia"/>
        </w:rPr>
      </w:pPr>
      <w:r>
        <w:rPr>
          <w:rFonts w:hint="eastAsia"/>
          <w:lang w:val="en-US" w:eastAsia="zh-CN"/>
        </w:rPr>
        <w:t>点位利旧</w:t>
      </w:r>
    </w:p>
    <w:p w14:paraId="72A0EA90">
      <w:pPr>
        <w:ind w:firstLine="480" w:firstLineChars="200"/>
        <w:rPr>
          <w:rFonts w:hint="eastAsia" w:ascii="宋体" w:hAnsi="宋体"/>
          <w:color w:val="auto"/>
          <w:highlight w:val="none"/>
          <w:lang w:val="en-US" w:eastAsia="zh-CN"/>
        </w:rPr>
      </w:pPr>
      <w:r>
        <w:rPr>
          <w:rFonts w:hint="eastAsia" w:ascii="宋体" w:hAnsi="宋体"/>
          <w:color w:val="auto"/>
          <w:highlight w:val="none"/>
          <w:lang w:val="en-US" w:eastAsia="zh-CN"/>
        </w:rPr>
        <w:t>本次方案规划将现有“办公网”、“有线电视网”点位整合到外网中部署，重新跳线到独立的外网接入交换机、外网汇聚交换机、外网核心交换机，并</w:t>
      </w:r>
      <w:r>
        <w:rPr>
          <w:rFonts w:ascii="宋体" w:hAnsi="宋体" w:eastAsia="宋体" w:cs="宋体"/>
          <w:color w:val="auto"/>
          <w:sz w:val="24"/>
          <w:szCs w:val="24"/>
          <w:highlight w:val="none"/>
        </w:rPr>
        <w:t>做好清晰标签</w:t>
      </w:r>
      <w:r>
        <w:rPr>
          <w:rFonts w:hint="eastAsia" w:ascii="宋体" w:hAnsi="宋体"/>
          <w:color w:val="auto"/>
          <w:highlight w:val="none"/>
          <w:lang w:val="en-US" w:eastAsia="zh-CN"/>
        </w:rPr>
        <w:t>。</w:t>
      </w:r>
    </w:p>
    <w:p w14:paraId="7429105B">
      <w:pPr>
        <w:ind w:firstLine="480" w:firstLineChars="200"/>
        <w:rPr>
          <w:rFonts w:hint="default" w:ascii="宋体" w:hAnsi="宋体"/>
          <w:color w:val="auto"/>
          <w:highlight w:val="none"/>
          <w:lang w:val="en-US" w:eastAsia="zh-CN"/>
        </w:rPr>
      </w:pPr>
      <w:r>
        <w:rPr>
          <w:rFonts w:hint="eastAsia" w:ascii="宋体" w:hAnsi="宋体"/>
          <w:color w:val="auto"/>
          <w:highlight w:val="none"/>
          <w:lang w:val="en-US" w:eastAsia="zh-CN"/>
        </w:rPr>
        <w:t>目前门诊楼4楼病案阅览室、开放办公室等设置了大量“六类语音信息插座”，但实际使用中并不需要，因此，本方案规划将门诊楼4楼病案阅览室、开放办公室等区域1/2的“六类语音信息插座”改为“办公网数据信息插座”。</w:t>
      </w:r>
    </w:p>
    <w:p w14:paraId="77AD8D2A">
      <w:pPr>
        <w:pStyle w:val="5"/>
        <w:bidi w:val="0"/>
        <w:ind w:left="720" w:leftChars="0" w:hanging="720" w:firstLineChars="0"/>
        <w:rPr>
          <w:rFonts w:hint="eastAsia"/>
        </w:rPr>
      </w:pPr>
      <w:r>
        <w:rPr>
          <w:rFonts w:hint="eastAsia"/>
          <w:lang w:val="en-US" w:eastAsia="zh-CN"/>
        </w:rPr>
        <w:t>点位增补</w:t>
      </w:r>
    </w:p>
    <w:p w14:paraId="51D4B2BC">
      <w:pPr>
        <w:ind w:firstLine="48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未来根据医院业务需求进行点位增补，通过统计各</w:t>
      </w:r>
      <w:r>
        <w:rPr>
          <w:rFonts w:ascii="宋体" w:hAnsi="宋体" w:eastAsia="宋体" w:cs="宋体"/>
          <w:color w:val="auto"/>
          <w:sz w:val="24"/>
          <w:szCs w:val="24"/>
          <w:highlight w:val="none"/>
        </w:rPr>
        <w:t>办公室外网点位数量缺口</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新增敷设六类非屏蔽网线，新增墙面信息面板；线缆单独敷设，不</w:t>
      </w:r>
      <w:r>
        <w:rPr>
          <w:rFonts w:hint="eastAsia" w:ascii="宋体" w:hAnsi="宋体" w:cs="宋体"/>
          <w:color w:val="auto"/>
          <w:sz w:val="24"/>
          <w:szCs w:val="24"/>
          <w:highlight w:val="none"/>
          <w:lang w:val="en-US" w:eastAsia="zh-CN"/>
        </w:rPr>
        <w:t>与</w:t>
      </w:r>
      <w:r>
        <w:rPr>
          <w:rFonts w:ascii="宋体" w:hAnsi="宋体" w:eastAsia="宋体" w:cs="宋体"/>
          <w:color w:val="auto"/>
          <w:sz w:val="24"/>
          <w:szCs w:val="24"/>
          <w:highlight w:val="none"/>
        </w:rPr>
        <w:t>医疗内网线缆捆扎共用桥架，条件允许分开桥架；如桥架共用，线缆做好明显标识标签。</w:t>
      </w:r>
    </w:p>
    <w:p w14:paraId="69FFD3B9">
      <w:pPr>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新增点位网线末端跳接至本楼层外网接入交换机，全部归属外网网络。</w:t>
      </w:r>
    </w:p>
    <w:p w14:paraId="333B1780">
      <w:pPr>
        <w:pStyle w:val="5"/>
        <w:bidi w:val="0"/>
        <w:ind w:left="720" w:leftChars="0" w:hanging="720" w:firstLineChars="0"/>
        <w:rPr>
          <w:rFonts w:hint="eastAsia"/>
        </w:rPr>
      </w:pPr>
      <w:r>
        <w:rPr>
          <w:rFonts w:hint="eastAsia"/>
          <w:lang w:val="en-US" w:eastAsia="zh-CN"/>
        </w:rPr>
        <w:t>医疗网、无线AP网保持不动</w:t>
      </w:r>
    </w:p>
    <w:p w14:paraId="5C972D21">
      <w:pPr>
        <w:ind w:firstLine="480" w:firstLineChars="200"/>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门诊、住院护士站、收费窗口、医技设备终端，全部继续使用原有交换机、原有点位，</w:t>
      </w:r>
      <w:r>
        <w:rPr>
          <w:rStyle w:val="17"/>
          <w:rFonts w:ascii="宋体" w:hAnsi="宋体" w:eastAsia="宋体" w:cs="宋体"/>
          <w:color w:val="auto"/>
          <w:sz w:val="24"/>
          <w:szCs w:val="24"/>
          <w:highlight w:val="none"/>
        </w:rPr>
        <w:t>不改动、不迁移</w:t>
      </w:r>
      <w:r>
        <w:rPr>
          <w:rFonts w:ascii="宋体" w:hAnsi="宋体" w:eastAsia="宋体" w:cs="宋体"/>
          <w:color w:val="auto"/>
          <w:sz w:val="24"/>
          <w:szCs w:val="24"/>
          <w:highlight w:val="none"/>
        </w:rPr>
        <w:t>。</w:t>
      </w:r>
    </w:p>
    <w:p w14:paraId="707BF371">
      <w:pPr>
        <w:pStyle w:val="5"/>
        <w:bidi w:val="0"/>
        <w:ind w:left="720" w:leftChars="0" w:hanging="720" w:firstLineChars="0"/>
        <w:rPr>
          <w:rFonts w:hint="eastAsia"/>
        </w:rPr>
      </w:pPr>
      <w:r>
        <w:rPr>
          <w:rFonts w:hint="eastAsia"/>
          <w:lang w:val="en-US" w:eastAsia="zh-CN"/>
        </w:rPr>
        <w:t>部署安全隔离网闸</w:t>
      </w:r>
    </w:p>
    <w:p w14:paraId="7A276409">
      <w:pPr>
        <w:ind w:firstLine="480" w:firstLineChars="200"/>
        <w:rPr>
          <w:rFonts w:hint="default" w:ascii="宋体" w:hAnsi="宋体" w:cs="宋体"/>
          <w:color w:val="auto"/>
          <w:highlight w:val="none"/>
        </w:rPr>
      </w:pPr>
      <w:r>
        <w:rPr>
          <w:rFonts w:ascii="宋体" w:hAnsi="宋体" w:eastAsia="宋体" w:cs="宋体"/>
          <w:color w:val="auto"/>
          <w:sz w:val="24"/>
          <w:szCs w:val="24"/>
          <w:highlight w:val="none"/>
        </w:rPr>
        <w:t>医疗业务内网与外网两套网络物理完全断开；两套网络之间</w:t>
      </w:r>
      <w:r>
        <w:rPr>
          <w:rFonts w:hint="eastAsia" w:ascii="宋体" w:hAnsi="宋体" w:cs="宋体"/>
          <w:color w:val="auto"/>
          <w:sz w:val="24"/>
          <w:szCs w:val="24"/>
          <w:highlight w:val="none"/>
          <w:lang w:val="en-US" w:eastAsia="zh-CN"/>
        </w:rPr>
        <w:t>应</w:t>
      </w:r>
      <w:r>
        <w:rPr>
          <w:rFonts w:ascii="宋体" w:hAnsi="宋体" w:eastAsia="宋体" w:cs="宋体"/>
          <w:color w:val="auto"/>
          <w:sz w:val="24"/>
          <w:szCs w:val="24"/>
          <w:highlight w:val="none"/>
        </w:rPr>
        <w:t>部署</w:t>
      </w:r>
      <w:r>
        <w:rPr>
          <w:rStyle w:val="17"/>
          <w:rFonts w:ascii="宋体" w:hAnsi="宋体" w:eastAsia="宋体" w:cs="宋体"/>
          <w:color w:val="auto"/>
          <w:sz w:val="24"/>
          <w:szCs w:val="24"/>
          <w:highlight w:val="none"/>
        </w:rPr>
        <w:t>安全隔离与信息交换系统（网闸）</w:t>
      </w:r>
      <w:r>
        <w:rPr>
          <w:rFonts w:ascii="宋体" w:hAnsi="宋体" w:eastAsia="宋体" w:cs="宋体"/>
          <w:color w:val="auto"/>
          <w:sz w:val="24"/>
          <w:szCs w:val="24"/>
          <w:highlight w:val="none"/>
        </w:rPr>
        <w:t>，仅开放必要业务：公卫上报、医保业务、医院报表数据同步等，按需配置单向/双向摆渡策略；禁止二层打通，禁止路由直连。</w:t>
      </w:r>
    </w:p>
    <w:p w14:paraId="198AE5D4">
      <w:pPr>
        <w:pStyle w:val="3"/>
        <w:bidi w:val="0"/>
        <w:ind w:left="575" w:leftChars="0" w:hanging="575" w:firstLineChars="0"/>
        <w:rPr>
          <w:rFonts w:hint="eastAsia"/>
        </w:rPr>
      </w:pPr>
      <w:r>
        <w:rPr>
          <w:rFonts w:hint="eastAsia"/>
          <w:lang w:val="en-US" w:eastAsia="zh-CN"/>
        </w:rPr>
        <w:t>网络改造方案</w:t>
      </w:r>
    </w:p>
    <w:p w14:paraId="506DBE83">
      <w:pPr>
        <w:pStyle w:val="5"/>
        <w:bidi w:val="0"/>
        <w:ind w:left="720" w:leftChars="0" w:hanging="720" w:firstLineChars="0"/>
        <w:rPr>
          <w:rFonts w:hint="eastAsia"/>
        </w:rPr>
      </w:pPr>
      <w:r>
        <w:rPr>
          <w:rFonts w:hint="eastAsia"/>
          <w:lang w:val="en-US" w:eastAsia="zh-CN"/>
        </w:rPr>
        <w:t>方案概述</w:t>
      </w:r>
    </w:p>
    <w:p w14:paraId="08AB8CA9">
      <w:pPr>
        <w:ind w:firstLine="480" w:firstLineChars="200"/>
        <w:rPr>
          <w:rFonts w:hint="default" w:ascii="宋体" w:hAnsi="宋体" w:cs="宋体"/>
          <w:color w:val="auto"/>
          <w:highlight w:val="none"/>
        </w:rPr>
      </w:pPr>
      <w:r>
        <w:rPr>
          <w:rFonts w:hint="eastAsia" w:ascii="宋体" w:hAnsi="宋体" w:cs="宋体"/>
          <w:color w:val="auto"/>
          <w:sz w:val="24"/>
          <w:szCs w:val="24"/>
          <w:highlight w:val="none"/>
          <w:lang w:val="en-US" w:eastAsia="zh-CN"/>
        </w:rPr>
        <w:t>基于以上改造思路，本方案内外网物理隔离建设拓扑图规划如下图所示：</w:t>
      </w:r>
    </w:p>
    <w:p w14:paraId="25C5199A">
      <w:pPr>
        <w:rPr>
          <w:rFonts w:hint="eastAsia"/>
          <w:color w:val="auto"/>
          <w:highlight w:val="none"/>
        </w:rPr>
      </w:pPr>
      <w:r>
        <w:drawing>
          <wp:inline distT="0" distB="0" distL="114300" distR="114300">
            <wp:extent cx="5092065" cy="3714750"/>
            <wp:effectExtent l="0" t="0" r="3175"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092065" cy="3714750"/>
                    </a:xfrm>
                    <a:prstGeom prst="rect">
                      <a:avLst/>
                    </a:prstGeom>
                    <a:noFill/>
                    <a:ln>
                      <a:noFill/>
                    </a:ln>
                  </pic:spPr>
                </pic:pic>
              </a:graphicData>
            </a:graphic>
          </wp:inline>
        </w:drawing>
      </w:r>
      <w:bookmarkStart w:id="111" w:name="_GoBack"/>
      <w:bookmarkEnd w:id="111"/>
    </w:p>
    <w:p w14:paraId="5FAF000A">
      <w:pPr>
        <w:ind w:firstLine="480" w:firstLineChars="200"/>
        <w:rPr>
          <w:rFonts w:hint="eastAsia" w:ascii="宋体" w:hAnsi="宋体" w:eastAsia="宋体"/>
          <w:color w:val="auto"/>
          <w:highlight w:val="none"/>
          <w:lang w:val="en-US" w:eastAsia="zh-CN"/>
        </w:rPr>
      </w:pPr>
      <w:r>
        <w:rPr>
          <w:rFonts w:hint="eastAsia" w:ascii="宋体" w:hAnsi="宋体"/>
          <w:color w:val="auto"/>
          <w:highlight w:val="none"/>
          <w:lang w:val="en-US" w:eastAsia="zh-CN"/>
        </w:rPr>
        <w:t>本方案规划将“办公网”点位、“有线电视网”点位全部设置到外网中部署。为实现本次改造目标，需要在信息机房新增1台万兆核心交换机，作为医院外网独立核心，在消控室配套新增3台外网汇聚交换机，用于汇聚各楼层部署的外网接入交换机，形成一套完全</w:t>
      </w:r>
      <w:r>
        <w:rPr>
          <w:rFonts w:ascii="宋体" w:hAnsi="宋体" w:eastAsia="宋体" w:cs="宋体"/>
          <w:color w:val="auto"/>
          <w:sz w:val="24"/>
          <w:szCs w:val="24"/>
          <w:highlight w:val="none"/>
        </w:rPr>
        <w:t>独立</w:t>
      </w:r>
      <w:r>
        <w:rPr>
          <w:rFonts w:hint="eastAsia" w:ascii="宋体" w:hAnsi="宋体" w:cs="宋体"/>
          <w:color w:val="auto"/>
          <w:sz w:val="24"/>
          <w:szCs w:val="24"/>
          <w:highlight w:val="none"/>
          <w:lang w:val="en-US" w:eastAsia="zh-CN"/>
        </w:rPr>
        <w:t>的</w:t>
      </w:r>
      <w:r>
        <w:rPr>
          <w:rFonts w:ascii="宋体" w:hAnsi="宋体" w:eastAsia="宋体" w:cs="宋体"/>
          <w:color w:val="auto"/>
          <w:sz w:val="24"/>
          <w:szCs w:val="24"/>
          <w:highlight w:val="none"/>
        </w:rPr>
        <w:t>外网交换网络。</w:t>
      </w:r>
      <w:r>
        <w:rPr>
          <w:rFonts w:hint="eastAsia" w:ascii="宋体" w:hAnsi="宋体" w:cs="宋体"/>
          <w:color w:val="auto"/>
          <w:sz w:val="24"/>
          <w:szCs w:val="24"/>
          <w:highlight w:val="none"/>
          <w:lang w:val="en-US" w:eastAsia="zh-CN"/>
        </w:rPr>
        <w:t>同时，外网出口区须配备1台出口路由器，作为外网区域网关，实现互联网接入、NAT 地址转换、外网网段 DHCP 地址分发，完成所有外网办公点位的互联网访问；同时利用路由器访问控制策略，初步实现外网区域的访问安全管控。外网网络与医院业务内网物理完全断开，不存在任何路由互通，保障医疗业务内网安全。</w:t>
      </w:r>
    </w:p>
    <w:p w14:paraId="1D14984C">
      <w:pPr>
        <w:pStyle w:val="5"/>
        <w:bidi w:val="0"/>
        <w:ind w:left="720" w:leftChars="0" w:hanging="720" w:firstLineChars="0"/>
        <w:rPr>
          <w:rFonts w:hint="eastAsia"/>
        </w:rPr>
      </w:pPr>
      <w:r>
        <w:rPr>
          <w:rFonts w:hint="eastAsia"/>
          <w:lang w:val="en-US" w:eastAsia="zh-CN"/>
        </w:rPr>
        <w:t>网络信息点详细设计</w:t>
      </w:r>
    </w:p>
    <w:p w14:paraId="43601771">
      <w:pPr>
        <w:ind w:firstLine="48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经现场调研，麻章区人民医院当前计算机网络信息点位分布如下表所示：</w:t>
      </w:r>
    </w:p>
    <w:tbl>
      <w:tblPr>
        <w:tblStyle w:val="15"/>
        <w:tblW w:w="83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8"/>
        <w:gridCol w:w="1175"/>
        <w:gridCol w:w="2031"/>
        <w:gridCol w:w="1053"/>
        <w:gridCol w:w="1009"/>
        <w:gridCol w:w="1084"/>
        <w:gridCol w:w="900"/>
      </w:tblGrid>
      <w:tr w14:paraId="027BF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46B7">
            <w:pPr>
              <w:keepNext w:val="0"/>
              <w:keepLines w:val="0"/>
              <w:widowControl/>
              <w:suppressLineNumbers w:val="0"/>
              <w:jc w:val="center"/>
              <w:textAlignment w:val="center"/>
              <w:rPr>
                <w:rFonts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楼层</w:t>
            </w:r>
          </w:p>
        </w:tc>
        <w:tc>
          <w:tcPr>
            <w:tcW w:w="1175" w:type="dxa"/>
            <w:vMerge w:val="restart"/>
            <w:tcBorders>
              <w:top w:val="single" w:color="000000" w:sz="4" w:space="0"/>
              <w:left w:val="single" w:color="000000" w:sz="4" w:space="0"/>
              <w:bottom w:val="single" w:color="000000" w:sz="4" w:space="0"/>
              <w:right w:val="nil"/>
            </w:tcBorders>
            <w:shd w:val="clear" w:color="auto" w:fill="auto"/>
            <w:noWrap/>
            <w:vAlign w:val="center"/>
          </w:tcPr>
          <w:p w14:paraId="47238C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科室</w:t>
            </w:r>
          </w:p>
        </w:tc>
        <w:tc>
          <w:tcPr>
            <w:tcW w:w="2031"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4A39B63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房间名称</w:t>
            </w:r>
          </w:p>
        </w:tc>
        <w:tc>
          <w:tcPr>
            <w:tcW w:w="404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BA8D7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原网络点位</w:t>
            </w:r>
          </w:p>
        </w:tc>
      </w:tr>
      <w:tr w14:paraId="29057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D40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nil"/>
            </w:tcBorders>
            <w:shd w:val="clear" w:color="auto" w:fill="auto"/>
            <w:noWrap/>
            <w:vAlign w:val="center"/>
          </w:tcPr>
          <w:p w14:paraId="017AB023">
            <w:pPr>
              <w:jc w:val="center"/>
              <w:rPr>
                <w:rFonts w:hint="eastAsia" w:ascii="等线" w:hAnsi="等线" w:eastAsia="等线" w:cs="等线"/>
                <w:i w:val="0"/>
                <w:iCs w:val="0"/>
                <w:color w:val="auto"/>
                <w:sz w:val="22"/>
                <w:szCs w:val="22"/>
                <w:highlight w:val="none"/>
                <w:u w:val="none"/>
              </w:rPr>
            </w:pPr>
          </w:p>
        </w:tc>
        <w:tc>
          <w:tcPr>
            <w:tcW w:w="203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4346716">
            <w:pPr>
              <w:jc w:val="center"/>
              <w:rPr>
                <w:rFonts w:hint="eastAsia" w:ascii="等线" w:hAnsi="等线" w:eastAsia="等线" w:cs="等线"/>
                <w:i w:val="0"/>
                <w:iCs w:val="0"/>
                <w:color w:val="auto"/>
                <w:sz w:val="22"/>
                <w:szCs w:val="22"/>
                <w:highlight w:val="none"/>
                <w:u w:val="none"/>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58B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医疗网</w:t>
            </w:r>
          </w:p>
        </w:tc>
        <w:tc>
          <w:tcPr>
            <w:tcW w:w="10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B04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电话网</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E81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w:t>
            </w:r>
          </w:p>
        </w:tc>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48C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有线电视网</w:t>
            </w:r>
          </w:p>
        </w:tc>
      </w:tr>
      <w:tr w14:paraId="6A7E2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4B7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1F东弱电间</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6A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门诊大厅</w:t>
            </w:r>
          </w:p>
        </w:tc>
        <w:tc>
          <w:tcPr>
            <w:tcW w:w="2031" w:type="dxa"/>
            <w:tcBorders>
              <w:top w:val="single" w:color="000000" w:sz="4" w:space="0"/>
              <w:left w:val="single" w:color="000000" w:sz="4" w:space="0"/>
              <w:bottom w:val="single" w:color="000000" w:sz="4" w:space="0"/>
              <w:right w:val="single" w:color="auto" w:sz="4" w:space="0"/>
            </w:tcBorders>
            <w:shd w:val="clear" w:color="auto" w:fill="auto"/>
            <w:vAlign w:val="center"/>
          </w:tcPr>
          <w:p w14:paraId="69140F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大厅</w:t>
            </w:r>
          </w:p>
        </w:tc>
        <w:tc>
          <w:tcPr>
            <w:tcW w:w="10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22F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6F0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C775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1B361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11</w:t>
            </w:r>
          </w:p>
        </w:tc>
      </w:tr>
      <w:tr w14:paraId="3B2E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B151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77ED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9F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105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6A127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100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6E5C0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108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47C98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900" w:type="dxa"/>
            <w:vMerge w:val="continue"/>
            <w:tcBorders>
              <w:top w:val="single" w:color="auto" w:sz="4" w:space="0"/>
              <w:left w:val="single" w:color="000000" w:sz="4" w:space="0"/>
              <w:bottom w:val="single" w:color="000000" w:sz="4" w:space="0"/>
              <w:right w:val="single" w:color="auto" w:sz="4" w:space="0"/>
            </w:tcBorders>
            <w:shd w:val="clear" w:color="auto" w:fill="auto"/>
            <w:noWrap/>
            <w:vAlign w:val="center"/>
          </w:tcPr>
          <w:p w14:paraId="36C41E4C">
            <w:pPr>
              <w:jc w:val="center"/>
              <w:rPr>
                <w:rFonts w:hint="eastAsia" w:ascii="等线" w:hAnsi="等线" w:eastAsia="等线" w:cs="等线"/>
                <w:i w:val="0"/>
                <w:iCs w:val="0"/>
                <w:color w:val="auto"/>
                <w:sz w:val="22"/>
                <w:szCs w:val="22"/>
                <w:highlight w:val="none"/>
                <w:u w:val="none"/>
              </w:rPr>
            </w:pPr>
          </w:p>
        </w:tc>
      </w:tr>
      <w:tr w14:paraId="4ADDF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C78C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2AA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55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财务办公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FF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EF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FB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7C8EC77">
            <w:pPr>
              <w:jc w:val="center"/>
              <w:rPr>
                <w:rFonts w:hint="eastAsia" w:ascii="等线" w:hAnsi="等线" w:eastAsia="等线" w:cs="等线"/>
                <w:i w:val="0"/>
                <w:iCs w:val="0"/>
                <w:color w:val="auto"/>
                <w:sz w:val="22"/>
                <w:szCs w:val="22"/>
                <w:highlight w:val="none"/>
                <w:u w:val="none"/>
              </w:rPr>
            </w:pPr>
          </w:p>
        </w:tc>
      </w:tr>
      <w:tr w14:paraId="0FE9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C313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4B2C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37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06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70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03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7D68894F">
            <w:pPr>
              <w:jc w:val="center"/>
              <w:rPr>
                <w:rFonts w:hint="eastAsia" w:ascii="等线" w:hAnsi="等线" w:eastAsia="等线" w:cs="等线"/>
                <w:i w:val="0"/>
                <w:iCs w:val="0"/>
                <w:color w:val="auto"/>
                <w:sz w:val="22"/>
                <w:szCs w:val="22"/>
                <w:highlight w:val="none"/>
                <w:u w:val="none"/>
              </w:rPr>
            </w:pPr>
          </w:p>
        </w:tc>
      </w:tr>
      <w:tr w14:paraId="641BF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DA618">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E5B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B4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接种室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2E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4F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32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9F92B57">
            <w:pPr>
              <w:jc w:val="center"/>
              <w:rPr>
                <w:rFonts w:hint="eastAsia" w:ascii="等线" w:hAnsi="等线" w:eastAsia="等线" w:cs="等线"/>
                <w:i w:val="0"/>
                <w:iCs w:val="0"/>
                <w:color w:val="auto"/>
                <w:sz w:val="22"/>
                <w:szCs w:val="22"/>
                <w:highlight w:val="none"/>
                <w:u w:val="none"/>
              </w:rPr>
            </w:pPr>
          </w:p>
        </w:tc>
      </w:tr>
      <w:tr w14:paraId="3DC01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EEB26">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C4E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8F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候诊登记处</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67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66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86D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13339B8">
            <w:pPr>
              <w:jc w:val="center"/>
              <w:rPr>
                <w:rFonts w:hint="eastAsia" w:ascii="等线" w:hAnsi="等线" w:eastAsia="等线" w:cs="等线"/>
                <w:i w:val="0"/>
                <w:iCs w:val="0"/>
                <w:color w:val="auto"/>
                <w:sz w:val="22"/>
                <w:szCs w:val="22"/>
                <w:highlight w:val="none"/>
                <w:u w:val="none"/>
              </w:rPr>
            </w:pPr>
          </w:p>
        </w:tc>
      </w:tr>
      <w:tr w14:paraId="2E6F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31E3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E38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DA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儿童心理室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D1A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3B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BE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100A3FC7">
            <w:pPr>
              <w:jc w:val="center"/>
              <w:rPr>
                <w:rFonts w:hint="eastAsia" w:ascii="等线" w:hAnsi="等线" w:eastAsia="等线" w:cs="等线"/>
                <w:i w:val="0"/>
                <w:iCs w:val="0"/>
                <w:color w:val="auto"/>
                <w:sz w:val="22"/>
                <w:szCs w:val="22"/>
                <w:highlight w:val="none"/>
                <w:u w:val="none"/>
              </w:rPr>
            </w:pPr>
          </w:p>
        </w:tc>
      </w:tr>
      <w:tr w14:paraId="0E99C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8FAA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7CD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78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儿童输液区</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850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7B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C2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57EA8C9C">
            <w:pPr>
              <w:jc w:val="center"/>
              <w:rPr>
                <w:rFonts w:hint="eastAsia" w:ascii="等线" w:hAnsi="等线" w:eastAsia="等线" w:cs="等线"/>
                <w:i w:val="0"/>
                <w:iCs w:val="0"/>
                <w:color w:val="auto"/>
                <w:sz w:val="22"/>
                <w:szCs w:val="22"/>
                <w:highlight w:val="none"/>
                <w:u w:val="none"/>
              </w:rPr>
            </w:pPr>
          </w:p>
        </w:tc>
      </w:tr>
      <w:tr w14:paraId="2AAA2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F34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37E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F5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8A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F2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6B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0FD111E2">
            <w:pPr>
              <w:jc w:val="center"/>
              <w:rPr>
                <w:rFonts w:hint="eastAsia" w:ascii="等线" w:hAnsi="等线" w:eastAsia="等线" w:cs="等线"/>
                <w:i w:val="0"/>
                <w:iCs w:val="0"/>
                <w:color w:val="auto"/>
                <w:sz w:val="22"/>
                <w:szCs w:val="22"/>
                <w:highlight w:val="none"/>
                <w:u w:val="none"/>
              </w:rPr>
            </w:pPr>
          </w:p>
        </w:tc>
      </w:tr>
      <w:tr w14:paraId="00971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08D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D01B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C2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C4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5EC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51F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D96A46C">
            <w:pPr>
              <w:jc w:val="center"/>
              <w:rPr>
                <w:rFonts w:hint="eastAsia" w:ascii="等线" w:hAnsi="等线" w:eastAsia="等线" w:cs="等线"/>
                <w:i w:val="0"/>
                <w:iCs w:val="0"/>
                <w:color w:val="auto"/>
                <w:sz w:val="22"/>
                <w:szCs w:val="22"/>
                <w:highlight w:val="none"/>
                <w:u w:val="none"/>
              </w:rPr>
            </w:pPr>
          </w:p>
        </w:tc>
      </w:tr>
      <w:tr w14:paraId="7483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E7E2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EDD7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25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雾化室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9CF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FE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E32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0C9CCFEC">
            <w:pPr>
              <w:jc w:val="center"/>
              <w:rPr>
                <w:rFonts w:hint="eastAsia" w:ascii="等线" w:hAnsi="等线" w:eastAsia="等线" w:cs="等线"/>
                <w:i w:val="0"/>
                <w:iCs w:val="0"/>
                <w:color w:val="auto"/>
                <w:sz w:val="22"/>
                <w:szCs w:val="22"/>
                <w:highlight w:val="none"/>
                <w:u w:val="none"/>
              </w:rPr>
            </w:pPr>
          </w:p>
        </w:tc>
      </w:tr>
      <w:tr w14:paraId="0D1BD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9D24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879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E6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2F5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C7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A50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5ACD6C58">
            <w:pPr>
              <w:jc w:val="center"/>
              <w:rPr>
                <w:rFonts w:hint="eastAsia" w:ascii="等线" w:hAnsi="等线" w:eastAsia="等线" w:cs="等线"/>
                <w:i w:val="0"/>
                <w:iCs w:val="0"/>
                <w:color w:val="auto"/>
                <w:sz w:val="22"/>
                <w:szCs w:val="22"/>
                <w:highlight w:val="none"/>
                <w:u w:val="none"/>
              </w:rPr>
            </w:pPr>
          </w:p>
        </w:tc>
      </w:tr>
      <w:tr w14:paraId="5DC1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C67B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3F3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34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药房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ED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E4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47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3C4DE357">
            <w:pPr>
              <w:jc w:val="center"/>
              <w:rPr>
                <w:rFonts w:hint="eastAsia" w:ascii="等线" w:hAnsi="等线" w:eastAsia="等线" w:cs="等线"/>
                <w:i w:val="0"/>
                <w:iCs w:val="0"/>
                <w:color w:val="auto"/>
                <w:sz w:val="22"/>
                <w:szCs w:val="22"/>
                <w:highlight w:val="none"/>
                <w:u w:val="none"/>
              </w:rPr>
            </w:pPr>
          </w:p>
        </w:tc>
      </w:tr>
      <w:tr w14:paraId="48EA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6482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BA8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3C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49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5207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CCC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249679F">
            <w:pPr>
              <w:jc w:val="center"/>
              <w:rPr>
                <w:rFonts w:hint="eastAsia" w:ascii="等线" w:hAnsi="等线" w:eastAsia="等线" w:cs="等线"/>
                <w:i w:val="0"/>
                <w:iCs w:val="0"/>
                <w:color w:val="auto"/>
                <w:sz w:val="22"/>
                <w:szCs w:val="22"/>
                <w:highlight w:val="none"/>
                <w:u w:val="none"/>
              </w:rPr>
            </w:pPr>
          </w:p>
        </w:tc>
      </w:tr>
      <w:tr w14:paraId="0304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A447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A0F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EF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63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66E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AD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61EE2C8C">
            <w:pPr>
              <w:jc w:val="center"/>
              <w:rPr>
                <w:rFonts w:hint="eastAsia" w:ascii="等线" w:hAnsi="等线" w:eastAsia="等线" w:cs="等线"/>
                <w:i w:val="0"/>
                <w:iCs w:val="0"/>
                <w:color w:val="auto"/>
                <w:sz w:val="22"/>
                <w:szCs w:val="22"/>
                <w:highlight w:val="none"/>
                <w:u w:val="none"/>
              </w:rPr>
            </w:pPr>
          </w:p>
        </w:tc>
      </w:tr>
      <w:tr w14:paraId="60DAD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BF7DF">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EE4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1C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740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C5A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F41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126CDEF4">
            <w:pPr>
              <w:jc w:val="center"/>
              <w:rPr>
                <w:rFonts w:hint="eastAsia" w:ascii="等线" w:hAnsi="等线" w:eastAsia="等线" w:cs="等线"/>
                <w:i w:val="0"/>
                <w:iCs w:val="0"/>
                <w:color w:val="auto"/>
                <w:sz w:val="22"/>
                <w:szCs w:val="22"/>
                <w:highlight w:val="none"/>
                <w:u w:val="none"/>
              </w:rPr>
            </w:pPr>
          </w:p>
        </w:tc>
      </w:tr>
      <w:tr w14:paraId="4363B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1AEA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E64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0C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远程会诊示教室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3A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BB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9DF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9B7EA53">
            <w:pPr>
              <w:jc w:val="center"/>
              <w:rPr>
                <w:rFonts w:hint="eastAsia" w:ascii="等线" w:hAnsi="等线" w:eastAsia="等线" w:cs="等线"/>
                <w:i w:val="0"/>
                <w:iCs w:val="0"/>
                <w:color w:val="auto"/>
                <w:sz w:val="22"/>
                <w:szCs w:val="22"/>
                <w:highlight w:val="none"/>
                <w:u w:val="none"/>
              </w:rPr>
            </w:pPr>
          </w:p>
        </w:tc>
      </w:tr>
      <w:tr w14:paraId="6033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4BA1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59D4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AA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22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83C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66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8F6A695">
            <w:pPr>
              <w:jc w:val="center"/>
              <w:rPr>
                <w:rFonts w:hint="eastAsia" w:ascii="等线" w:hAnsi="等线" w:eastAsia="等线" w:cs="等线"/>
                <w:i w:val="0"/>
                <w:iCs w:val="0"/>
                <w:color w:val="auto"/>
                <w:sz w:val="22"/>
                <w:szCs w:val="22"/>
                <w:highlight w:val="none"/>
                <w:u w:val="none"/>
              </w:rPr>
            </w:pPr>
          </w:p>
        </w:tc>
      </w:tr>
      <w:tr w14:paraId="2FACB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29BF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0E9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28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1AB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C683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347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1BBAE317">
            <w:pPr>
              <w:jc w:val="center"/>
              <w:rPr>
                <w:rFonts w:hint="eastAsia" w:ascii="等线" w:hAnsi="等线" w:eastAsia="等线" w:cs="等线"/>
                <w:i w:val="0"/>
                <w:iCs w:val="0"/>
                <w:color w:val="auto"/>
                <w:sz w:val="22"/>
                <w:szCs w:val="22"/>
                <w:highlight w:val="none"/>
                <w:u w:val="none"/>
              </w:rPr>
            </w:pPr>
          </w:p>
        </w:tc>
      </w:tr>
      <w:tr w14:paraId="59DBB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E04F">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6D9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B4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CC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9A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79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2F985D64">
            <w:pPr>
              <w:jc w:val="center"/>
              <w:rPr>
                <w:rFonts w:hint="eastAsia" w:ascii="等线" w:hAnsi="等线" w:eastAsia="等线" w:cs="等线"/>
                <w:i w:val="0"/>
                <w:iCs w:val="0"/>
                <w:color w:val="auto"/>
                <w:sz w:val="22"/>
                <w:szCs w:val="22"/>
                <w:highlight w:val="none"/>
                <w:u w:val="none"/>
              </w:rPr>
            </w:pPr>
          </w:p>
        </w:tc>
      </w:tr>
      <w:tr w14:paraId="22F1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0688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F6B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09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留观室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068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AE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9B5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059ACA69">
            <w:pPr>
              <w:jc w:val="center"/>
              <w:rPr>
                <w:rFonts w:hint="eastAsia" w:ascii="等线" w:hAnsi="等线" w:eastAsia="等线" w:cs="等线"/>
                <w:i w:val="0"/>
                <w:iCs w:val="0"/>
                <w:color w:val="auto"/>
                <w:sz w:val="22"/>
                <w:szCs w:val="22"/>
                <w:highlight w:val="none"/>
                <w:u w:val="none"/>
              </w:rPr>
            </w:pPr>
          </w:p>
        </w:tc>
      </w:tr>
      <w:tr w14:paraId="2A2E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5B99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13E88">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4F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7A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27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4C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auto" w:sz="4" w:space="0"/>
            </w:tcBorders>
            <w:shd w:val="clear" w:color="auto" w:fill="auto"/>
            <w:noWrap/>
            <w:vAlign w:val="center"/>
          </w:tcPr>
          <w:p w14:paraId="33D0FBDB">
            <w:pPr>
              <w:jc w:val="center"/>
              <w:rPr>
                <w:rFonts w:hint="eastAsia" w:ascii="等线" w:hAnsi="等线" w:eastAsia="等线" w:cs="等线"/>
                <w:i w:val="0"/>
                <w:iCs w:val="0"/>
                <w:color w:val="auto"/>
                <w:sz w:val="22"/>
                <w:szCs w:val="22"/>
                <w:highlight w:val="none"/>
                <w:u w:val="none"/>
              </w:rPr>
            </w:pPr>
          </w:p>
        </w:tc>
      </w:tr>
      <w:tr w14:paraId="1CD98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1719E3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1F西弱电间</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3E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门诊大厅</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62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D8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A0E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197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25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11</w:t>
            </w:r>
          </w:p>
        </w:tc>
      </w:tr>
      <w:tr w14:paraId="44FE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023F57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0E2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0D8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中药房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87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864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A9A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E532">
            <w:pPr>
              <w:jc w:val="center"/>
              <w:rPr>
                <w:rFonts w:hint="eastAsia" w:ascii="等线" w:hAnsi="等线" w:eastAsia="等线" w:cs="等线"/>
                <w:i w:val="0"/>
                <w:iCs w:val="0"/>
                <w:color w:val="auto"/>
                <w:sz w:val="22"/>
                <w:szCs w:val="22"/>
                <w:highlight w:val="none"/>
                <w:u w:val="none"/>
              </w:rPr>
            </w:pPr>
          </w:p>
        </w:tc>
      </w:tr>
      <w:tr w14:paraId="0E657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25D470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385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68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西药房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B5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908B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37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A05E">
            <w:pPr>
              <w:jc w:val="center"/>
              <w:rPr>
                <w:rFonts w:hint="eastAsia" w:ascii="等线" w:hAnsi="等线" w:eastAsia="等线" w:cs="等线"/>
                <w:i w:val="0"/>
                <w:iCs w:val="0"/>
                <w:color w:val="auto"/>
                <w:sz w:val="22"/>
                <w:szCs w:val="22"/>
                <w:highlight w:val="none"/>
                <w:u w:val="none"/>
              </w:rPr>
            </w:pPr>
          </w:p>
        </w:tc>
      </w:tr>
      <w:tr w14:paraId="7C04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0448F9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6AC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00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175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4B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FF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A778">
            <w:pPr>
              <w:jc w:val="center"/>
              <w:rPr>
                <w:rFonts w:hint="eastAsia" w:ascii="等线" w:hAnsi="等线" w:eastAsia="等线" w:cs="等线"/>
                <w:i w:val="0"/>
                <w:iCs w:val="0"/>
                <w:color w:val="auto"/>
                <w:sz w:val="22"/>
                <w:szCs w:val="22"/>
                <w:highlight w:val="none"/>
                <w:u w:val="none"/>
              </w:rPr>
            </w:pPr>
          </w:p>
        </w:tc>
      </w:tr>
      <w:tr w14:paraId="2E777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A6A2797">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nil"/>
              <w:left w:val="single" w:color="000000" w:sz="4" w:space="0"/>
              <w:bottom w:val="nil"/>
              <w:right w:val="single" w:color="000000" w:sz="4" w:space="0"/>
            </w:tcBorders>
            <w:shd w:val="clear" w:color="auto" w:fill="auto"/>
            <w:noWrap/>
            <w:vAlign w:val="center"/>
          </w:tcPr>
          <w:p w14:paraId="4FF468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FEA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1A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FB0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DC2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8E12">
            <w:pPr>
              <w:jc w:val="center"/>
              <w:rPr>
                <w:rFonts w:hint="eastAsia" w:ascii="等线" w:hAnsi="等线" w:eastAsia="等线" w:cs="等线"/>
                <w:i w:val="0"/>
                <w:iCs w:val="0"/>
                <w:color w:val="auto"/>
                <w:sz w:val="22"/>
                <w:szCs w:val="22"/>
                <w:highlight w:val="none"/>
                <w:u w:val="none"/>
              </w:rPr>
            </w:pPr>
          </w:p>
        </w:tc>
      </w:tr>
      <w:tr w14:paraId="3F81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0C8185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52ED07D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F7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E391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52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524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0C85">
            <w:pPr>
              <w:jc w:val="center"/>
              <w:rPr>
                <w:rFonts w:hint="eastAsia" w:ascii="等线" w:hAnsi="等线" w:eastAsia="等线" w:cs="等线"/>
                <w:i w:val="0"/>
                <w:iCs w:val="0"/>
                <w:color w:val="auto"/>
                <w:sz w:val="22"/>
                <w:szCs w:val="22"/>
                <w:highlight w:val="none"/>
                <w:u w:val="none"/>
              </w:rPr>
            </w:pPr>
          </w:p>
        </w:tc>
      </w:tr>
      <w:tr w14:paraId="2100F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CE69C3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039B396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86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6E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FE8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CD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15A5">
            <w:pPr>
              <w:jc w:val="center"/>
              <w:rPr>
                <w:rFonts w:hint="eastAsia" w:ascii="等线" w:hAnsi="等线" w:eastAsia="等线" w:cs="等线"/>
                <w:i w:val="0"/>
                <w:iCs w:val="0"/>
                <w:color w:val="auto"/>
                <w:sz w:val="22"/>
                <w:szCs w:val="22"/>
                <w:highlight w:val="none"/>
                <w:u w:val="none"/>
              </w:rPr>
            </w:pPr>
          </w:p>
        </w:tc>
      </w:tr>
      <w:tr w14:paraId="3343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37695F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0CB4274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9C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留观室（2间）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8B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E4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2BD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FFEB">
            <w:pPr>
              <w:jc w:val="center"/>
              <w:rPr>
                <w:rFonts w:hint="eastAsia" w:ascii="等线" w:hAnsi="等线" w:eastAsia="等线" w:cs="等线"/>
                <w:i w:val="0"/>
                <w:iCs w:val="0"/>
                <w:color w:val="auto"/>
                <w:sz w:val="22"/>
                <w:szCs w:val="22"/>
                <w:highlight w:val="none"/>
                <w:u w:val="none"/>
              </w:rPr>
            </w:pPr>
          </w:p>
        </w:tc>
      </w:tr>
      <w:tr w14:paraId="6DF7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E779A6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6510824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8BF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清创室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9EA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34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382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4AC61">
            <w:pPr>
              <w:jc w:val="center"/>
              <w:rPr>
                <w:rFonts w:hint="eastAsia" w:ascii="等线" w:hAnsi="等线" w:eastAsia="等线" w:cs="等线"/>
                <w:i w:val="0"/>
                <w:iCs w:val="0"/>
                <w:color w:val="auto"/>
                <w:sz w:val="22"/>
                <w:szCs w:val="22"/>
                <w:highlight w:val="none"/>
                <w:u w:val="none"/>
              </w:rPr>
            </w:pPr>
          </w:p>
        </w:tc>
      </w:tr>
      <w:tr w14:paraId="42C0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FDE679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3F18DE7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C1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48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C5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2A3B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5EAE">
            <w:pPr>
              <w:jc w:val="center"/>
              <w:rPr>
                <w:rFonts w:hint="eastAsia" w:ascii="等线" w:hAnsi="等线" w:eastAsia="等线" w:cs="等线"/>
                <w:i w:val="0"/>
                <w:iCs w:val="0"/>
                <w:color w:val="auto"/>
                <w:sz w:val="22"/>
                <w:szCs w:val="22"/>
                <w:highlight w:val="none"/>
                <w:u w:val="none"/>
              </w:rPr>
            </w:pPr>
          </w:p>
        </w:tc>
      </w:tr>
      <w:tr w14:paraId="23B4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3C0CF7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750CD51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B7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EICU</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C03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47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EA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A97C">
            <w:pPr>
              <w:jc w:val="center"/>
              <w:rPr>
                <w:rFonts w:hint="eastAsia" w:ascii="等线" w:hAnsi="等线" w:eastAsia="等线" w:cs="等线"/>
                <w:i w:val="0"/>
                <w:iCs w:val="0"/>
                <w:color w:val="auto"/>
                <w:sz w:val="22"/>
                <w:szCs w:val="22"/>
                <w:highlight w:val="none"/>
                <w:u w:val="none"/>
              </w:rPr>
            </w:pPr>
          </w:p>
        </w:tc>
      </w:tr>
      <w:tr w14:paraId="24F4A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EDF76D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34C68FC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023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BDF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CB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19F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2E7C6">
            <w:pPr>
              <w:jc w:val="center"/>
              <w:rPr>
                <w:rFonts w:hint="eastAsia" w:ascii="等线" w:hAnsi="等线" w:eastAsia="等线" w:cs="等线"/>
                <w:i w:val="0"/>
                <w:iCs w:val="0"/>
                <w:color w:val="auto"/>
                <w:sz w:val="22"/>
                <w:szCs w:val="22"/>
                <w:highlight w:val="none"/>
                <w:u w:val="none"/>
              </w:rPr>
            </w:pPr>
          </w:p>
        </w:tc>
      </w:tr>
      <w:tr w14:paraId="27D0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CAA54B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4E178D2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A7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抢救室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AC0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49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AE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ED49">
            <w:pPr>
              <w:jc w:val="center"/>
              <w:rPr>
                <w:rFonts w:hint="eastAsia" w:ascii="等线" w:hAnsi="等线" w:eastAsia="等线" w:cs="等线"/>
                <w:i w:val="0"/>
                <w:iCs w:val="0"/>
                <w:color w:val="auto"/>
                <w:sz w:val="22"/>
                <w:szCs w:val="22"/>
                <w:highlight w:val="none"/>
                <w:u w:val="none"/>
              </w:rPr>
            </w:pPr>
          </w:p>
        </w:tc>
      </w:tr>
      <w:tr w14:paraId="000EE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62C3D4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08A858C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B4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急诊抢救大厅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4E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3BD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F6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3A8B">
            <w:pPr>
              <w:jc w:val="center"/>
              <w:rPr>
                <w:rFonts w:hint="eastAsia" w:ascii="等线" w:hAnsi="等线" w:eastAsia="等线" w:cs="等线"/>
                <w:i w:val="0"/>
                <w:iCs w:val="0"/>
                <w:color w:val="auto"/>
                <w:sz w:val="22"/>
                <w:szCs w:val="22"/>
                <w:highlight w:val="none"/>
                <w:u w:val="none"/>
              </w:rPr>
            </w:pPr>
          </w:p>
        </w:tc>
      </w:tr>
      <w:tr w14:paraId="3701E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7CB47D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0057268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9D8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化验室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76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FA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51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F9D2">
            <w:pPr>
              <w:jc w:val="center"/>
              <w:rPr>
                <w:rFonts w:hint="eastAsia" w:ascii="等线" w:hAnsi="等线" w:eastAsia="等线" w:cs="等线"/>
                <w:i w:val="0"/>
                <w:iCs w:val="0"/>
                <w:color w:val="auto"/>
                <w:sz w:val="22"/>
                <w:szCs w:val="22"/>
                <w:highlight w:val="none"/>
                <w:u w:val="none"/>
              </w:rPr>
            </w:pPr>
          </w:p>
        </w:tc>
      </w:tr>
      <w:tr w14:paraId="7CA65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4457A26">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31BB0D8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BE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急诊挂号收费</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98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5B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22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C9A9A">
            <w:pPr>
              <w:jc w:val="center"/>
              <w:rPr>
                <w:rFonts w:hint="eastAsia" w:ascii="等线" w:hAnsi="等线" w:eastAsia="等线" w:cs="等线"/>
                <w:i w:val="0"/>
                <w:iCs w:val="0"/>
                <w:color w:val="auto"/>
                <w:sz w:val="22"/>
                <w:szCs w:val="22"/>
                <w:highlight w:val="none"/>
                <w:u w:val="none"/>
              </w:rPr>
            </w:pPr>
          </w:p>
        </w:tc>
      </w:tr>
      <w:tr w14:paraId="53427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E33876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132CDC08">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08B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850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D9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61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4C41">
            <w:pPr>
              <w:jc w:val="center"/>
              <w:rPr>
                <w:rFonts w:hint="eastAsia" w:ascii="等线" w:hAnsi="等线" w:eastAsia="等线" w:cs="等线"/>
                <w:i w:val="0"/>
                <w:iCs w:val="0"/>
                <w:color w:val="auto"/>
                <w:sz w:val="22"/>
                <w:szCs w:val="22"/>
                <w:highlight w:val="none"/>
                <w:u w:val="none"/>
              </w:rPr>
            </w:pPr>
          </w:p>
        </w:tc>
      </w:tr>
      <w:tr w14:paraId="43E2B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020D63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322BF1F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D5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观察室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47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67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06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5003">
            <w:pPr>
              <w:jc w:val="center"/>
              <w:rPr>
                <w:rFonts w:hint="eastAsia" w:ascii="等线" w:hAnsi="等线" w:eastAsia="等线" w:cs="等线"/>
                <w:i w:val="0"/>
                <w:iCs w:val="0"/>
                <w:color w:val="auto"/>
                <w:sz w:val="22"/>
                <w:szCs w:val="22"/>
                <w:highlight w:val="none"/>
                <w:u w:val="none"/>
              </w:rPr>
            </w:pPr>
          </w:p>
        </w:tc>
      </w:tr>
      <w:tr w14:paraId="019BD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30C8B4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258EB9F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DE2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发热门诊（2间）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452A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B3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AE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33B9">
            <w:pPr>
              <w:jc w:val="center"/>
              <w:rPr>
                <w:rFonts w:hint="eastAsia" w:ascii="等线" w:hAnsi="等线" w:eastAsia="等线" w:cs="等线"/>
                <w:i w:val="0"/>
                <w:iCs w:val="0"/>
                <w:color w:val="auto"/>
                <w:sz w:val="22"/>
                <w:szCs w:val="22"/>
                <w:highlight w:val="none"/>
                <w:u w:val="none"/>
              </w:rPr>
            </w:pPr>
          </w:p>
        </w:tc>
      </w:tr>
      <w:tr w14:paraId="33DE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9D2560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26B527C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A8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120值班室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E1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16F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4C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C86D">
            <w:pPr>
              <w:jc w:val="center"/>
              <w:rPr>
                <w:rFonts w:hint="eastAsia" w:ascii="等线" w:hAnsi="等线" w:eastAsia="等线" w:cs="等线"/>
                <w:i w:val="0"/>
                <w:iCs w:val="0"/>
                <w:color w:val="auto"/>
                <w:sz w:val="22"/>
                <w:szCs w:val="22"/>
                <w:highlight w:val="none"/>
                <w:u w:val="none"/>
              </w:rPr>
            </w:pPr>
          </w:p>
        </w:tc>
      </w:tr>
      <w:tr w14:paraId="0435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BF07CC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177C903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2D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预检分诊室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FA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D1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70D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627B">
            <w:pPr>
              <w:jc w:val="center"/>
              <w:rPr>
                <w:rFonts w:hint="eastAsia" w:ascii="等线" w:hAnsi="等线" w:eastAsia="等线" w:cs="等线"/>
                <w:i w:val="0"/>
                <w:iCs w:val="0"/>
                <w:color w:val="auto"/>
                <w:sz w:val="22"/>
                <w:szCs w:val="22"/>
                <w:highlight w:val="none"/>
                <w:u w:val="none"/>
              </w:rPr>
            </w:pPr>
          </w:p>
        </w:tc>
      </w:tr>
      <w:tr w14:paraId="28B08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DD3E13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57AAEE3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39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B9D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B3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46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5355D">
            <w:pPr>
              <w:jc w:val="center"/>
              <w:rPr>
                <w:rFonts w:hint="eastAsia" w:ascii="等线" w:hAnsi="等线" w:eastAsia="等线" w:cs="等线"/>
                <w:i w:val="0"/>
                <w:iCs w:val="0"/>
                <w:color w:val="auto"/>
                <w:sz w:val="22"/>
                <w:szCs w:val="22"/>
                <w:highlight w:val="none"/>
                <w:u w:val="none"/>
              </w:rPr>
            </w:pPr>
          </w:p>
        </w:tc>
      </w:tr>
      <w:tr w14:paraId="607E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D01A66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49FBEFC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04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F65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BE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C64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B869">
            <w:pPr>
              <w:jc w:val="center"/>
              <w:rPr>
                <w:rFonts w:hint="eastAsia" w:ascii="等线" w:hAnsi="等线" w:eastAsia="等线" w:cs="等线"/>
                <w:i w:val="0"/>
                <w:iCs w:val="0"/>
                <w:color w:val="auto"/>
                <w:sz w:val="22"/>
                <w:szCs w:val="22"/>
                <w:highlight w:val="none"/>
                <w:u w:val="none"/>
              </w:rPr>
            </w:pPr>
          </w:p>
        </w:tc>
      </w:tr>
      <w:tr w14:paraId="7B674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DB3AB1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43756F8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AB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示教医办</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CF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A8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5D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BDDF">
            <w:pPr>
              <w:jc w:val="center"/>
              <w:rPr>
                <w:rFonts w:hint="eastAsia" w:ascii="等线" w:hAnsi="等线" w:eastAsia="等线" w:cs="等线"/>
                <w:i w:val="0"/>
                <w:iCs w:val="0"/>
                <w:color w:val="auto"/>
                <w:sz w:val="22"/>
                <w:szCs w:val="22"/>
                <w:highlight w:val="none"/>
                <w:u w:val="none"/>
              </w:rPr>
            </w:pPr>
          </w:p>
        </w:tc>
      </w:tr>
      <w:tr w14:paraId="51053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CDFC3F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nil"/>
              <w:left w:val="single" w:color="000000" w:sz="4" w:space="0"/>
              <w:bottom w:val="nil"/>
              <w:right w:val="single" w:color="000000" w:sz="4" w:space="0"/>
            </w:tcBorders>
            <w:shd w:val="clear" w:color="auto" w:fill="auto"/>
            <w:noWrap/>
            <w:vAlign w:val="center"/>
          </w:tcPr>
          <w:p w14:paraId="3DFEAD0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E8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BB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A4D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AF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E093D">
            <w:pPr>
              <w:jc w:val="center"/>
              <w:rPr>
                <w:rFonts w:hint="eastAsia" w:ascii="等线" w:hAnsi="等线" w:eastAsia="等线" w:cs="等线"/>
                <w:i w:val="0"/>
                <w:iCs w:val="0"/>
                <w:color w:val="auto"/>
                <w:sz w:val="22"/>
                <w:szCs w:val="22"/>
                <w:highlight w:val="none"/>
                <w:u w:val="none"/>
              </w:rPr>
            </w:pPr>
          </w:p>
        </w:tc>
      </w:tr>
      <w:tr w14:paraId="7F3A0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1DD60C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2F东弱电间</w:t>
            </w:r>
          </w:p>
        </w:tc>
        <w:tc>
          <w:tcPr>
            <w:tcW w:w="1175" w:type="dxa"/>
            <w:vMerge w:val="restart"/>
            <w:tcBorders>
              <w:top w:val="single" w:color="000000" w:sz="4" w:space="0"/>
              <w:left w:val="single" w:color="000000" w:sz="4" w:space="0"/>
              <w:bottom w:val="nil"/>
              <w:right w:val="single" w:color="000000" w:sz="4" w:space="0"/>
            </w:tcBorders>
            <w:shd w:val="clear" w:color="auto" w:fill="auto"/>
            <w:noWrap/>
            <w:vAlign w:val="center"/>
          </w:tcPr>
          <w:p w14:paraId="7E0978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中医</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C6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DA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3E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F7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70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14</w:t>
            </w:r>
          </w:p>
        </w:tc>
      </w:tr>
      <w:tr w14:paraId="66205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CA36B4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2A6D71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64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诊室（8间）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F0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2B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35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EE807">
            <w:pPr>
              <w:jc w:val="center"/>
              <w:rPr>
                <w:rFonts w:hint="eastAsia" w:ascii="等线" w:hAnsi="等线" w:eastAsia="等线" w:cs="等线"/>
                <w:i w:val="0"/>
                <w:iCs w:val="0"/>
                <w:color w:val="auto"/>
                <w:sz w:val="22"/>
                <w:szCs w:val="22"/>
                <w:highlight w:val="none"/>
                <w:u w:val="none"/>
              </w:rPr>
            </w:pPr>
          </w:p>
        </w:tc>
      </w:tr>
      <w:tr w14:paraId="07F8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E90337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9DB47C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CA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7B6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FE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4F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E12E0">
            <w:pPr>
              <w:jc w:val="center"/>
              <w:rPr>
                <w:rFonts w:hint="eastAsia" w:ascii="等线" w:hAnsi="等线" w:eastAsia="等线" w:cs="等线"/>
                <w:i w:val="0"/>
                <w:iCs w:val="0"/>
                <w:color w:val="auto"/>
                <w:sz w:val="22"/>
                <w:szCs w:val="22"/>
                <w:highlight w:val="none"/>
                <w:u w:val="none"/>
              </w:rPr>
            </w:pPr>
          </w:p>
        </w:tc>
      </w:tr>
      <w:tr w14:paraId="6CBCA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7787E6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7272D2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5E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BCC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4D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F4B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7549">
            <w:pPr>
              <w:jc w:val="center"/>
              <w:rPr>
                <w:rFonts w:hint="eastAsia" w:ascii="等线" w:hAnsi="等线" w:eastAsia="等线" w:cs="等线"/>
                <w:i w:val="0"/>
                <w:iCs w:val="0"/>
                <w:color w:val="auto"/>
                <w:sz w:val="22"/>
                <w:szCs w:val="22"/>
                <w:highlight w:val="none"/>
                <w:u w:val="none"/>
              </w:rPr>
            </w:pPr>
          </w:p>
        </w:tc>
      </w:tr>
      <w:tr w14:paraId="41E3E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1C6456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444B86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96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9E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B3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7D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D9A9">
            <w:pPr>
              <w:jc w:val="center"/>
              <w:rPr>
                <w:rFonts w:hint="eastAsia" w:ascii="等线" w:hAnsi="等线" w:eastAsia="等线" w:cs="等线"/>
                <w:i w:val="0"/>
                <w:iCs w:val="0"/>
                <w:color w:val="auto"/>
                <w:sz w:val="22"/>
                <w:szCs w:val="22"/>
                <w:highlight w:val="none"/>
                <w:u w:val="none"/>
              </w:rPr>
            </w:pPr>
          </w:p>
        </w:tc>
      </w:tr>
      <w:tr w14:paraId="1CFC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83B27A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D2CC0C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31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6E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26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A17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98B1">
            <w:pPr>
              <w:jc w:val="center"/>
              <w:rPr>
                <w:rFonts w:hint="eastAsia" w:ascii="等线" w:hAnsi="等线" w:eastAsia="等线" w:cs="等线"/>
                <w:i w:val="0"/>
                <w:iCs w:val="0"/>
                <w:color w:val="auto"/>
                <w:sz w:val="22"/>
                <w:szCs w:val="22"/>
                <w:highlight w:val="none"/>
                <w:u w:val="none"/>
              </w:rPr>
            </w:pPr>
          </w:p>
        </w:tc>
      </w:tr>
      <w:tr w14:paraId="0E8D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4A02D1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6F0B49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B5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00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7B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3D3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4049">
            <w:pPr>
              <w:jc w:val="center"/>
              <w:rPr>
                <w:rFonts w:hint="eastAsia" w:ascii="等线" w:hAnsi="等线" w:eastAsia="等线" w:cs="等线"/>
                <w:i w:val="0"/>
                <w:iCs w:val="0"/>
                <w:color w:val="auto"/>
                <w:sz w:val="22"/>
                <w:szCs w:val="22"/>
                <w:highlight w:val="none"/>
                <w:u w:val="none"/>
              </w:rPr>
            </w:pPr>
          </w:p>
        </w:tc>
      </w:tr>
      <w:tr w14:paraId="7E51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1A5725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2F西弱电间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ABD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D4D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92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5D0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C30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r>
      <w:tr w14:paraId="06045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063AE4B">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47D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505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0A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8A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E7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0D5C">
            <w:pPr>
              <w:jc w:val="center"/>
              <w:rPr>
                <w:rFonts w:hint="eastAsia" w:ascii="等线" w:hAnsi="等线" w:eastAsia="等线" w:cs="等线"/>
                <w:i w:val="0"/>
                <w:iCs w:val="0"/>
                <w:color w:val="auto"/>
                <w:sz w:val="22"/>
                <w:szCs w:val="22"/>
                <w:highlight w:val="none"/>
                <w:u w:val="none"/>
              </w:rPr>
            </w:pPr>
          </w:p>
        </w:tc>
      </w:tr>
      <w:tr w14:paraId="5007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FE3A61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D05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73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80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D2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1A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0E26">
            <w:pPr>
              <w:jc w:val="center"/>
              <w:rPr>
                <w:rFonts w:hint="eastAsia" w:ascii="等线" w:hAnsi="等线" w:eastAsia="等线" w:cs="等线"/>
                <w:i w:val="0"/>
                <w:iCs w:val="0"/>
                <w:color w:val="auto"/>
                <w:sz w:val="22"/>
                <w:szCs w:val="22"/>
                <w:highlight w:val="none"/>
                <w:u w:val="none"/>
              </w:rPr>
            </w:pPr>
          </w:p>
        </w:tc>
      </w:tr>
      <w:tr w14:paraId="0C88F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04DB5E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AFF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30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26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769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DBF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E61A">
            <w:pPr>
              <w:jc w:val="center"/>
              <w:rPr>
                <w:rFonts w:hint="eastAsia" w:ascii="等线" w:hAnsi="等线" w:eastAsia="等线" w:cs="等线"/>
                <w:i w:val="0"/>
                <w:iCs w:val="0"/>
                <w:color w:val="auto"/>
                <w:sz w:val="22"/>
                <w:szCs w:val="22"/>
                <w:highlight w:val="none"/>
                <w:u w:val="none"/>
              </w:rPr>
            </w:pPr>
          </w:p>
        </w:tc>
      </w:tr>
      <w:tr w14:paraId="2EB7A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6B01EE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0E9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3E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内科诊室（4间）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89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15A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57A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D42D">
            <w:pPr>
              <w:jc w:val="center"/>
              <w:rPr>
                <w:rFonts w:hint="eastAsia" w:ascii="等线" w:hAnsi="等线" w:eastAsia="等线" w:cs="等线"/>
                <w:i w:val="0"/>
                <w:iCs w:val="0"/>
                <w:color w:val="auto"/>
                <w:sz w:val="22"/>
                <w:szCs w:val="22"/>
                <w:highlight w:val="none"/>
                <w:u w:val="none"/>
              </w:rPr>
            </w:pPr>
          </w:p>
        </w:tc>
      </w:tr>
      <w:tr w14:paraId="638B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72F725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A02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0E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B8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94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D6B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E5D1">
            <w:pPr>
              <w:jc w:val="center"/>
              <w:rPr>
                <w:rFonts w:hint="eastAsia" w:ascii="等线" w:hAnsi="等线" w:eastAsia="等线" w:cs="等线"/>
                <w:i w:val="0"/>
                <w:iCs w:val="0"/>
                <w:color w:val="auto"/>
                <w:sz w:val="22"/>
                <w:szCs w:val="22"/>
                <w:highlight w:val="none"/>
                <w:u w:val="none"/>
              </w:rPr>
            </w:pPr>
          </w:p>
        </w:tc>
      </w:tr>
      <w:tr w14:paraId="201E6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5A0D65C">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F43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47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外科诊室（4间）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46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E0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2DB5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5F41">
            <w:pPr>
              <w:jc w:val="center"/>
              <w:rPr>
                <w:rFonts w:hint="eastAsia" w:ascii="等线" w:hAnsi="等线" w:eastAsia="等线" w:cs="等线"/>
                <w:i w:val="0"/>
                <w:iCs w:val="0"/>
                <w:color w:val="auto"/>
                <w:sz w:val="22"/>
                <w:szCs w:val="22"/>
                <w:highlight w:val="none"/>
                <w:u w:val="none"/>
              </w:rPr>
            </w:pPr>
          </w:p>
        </w:tc>
      </w:tr>
      <w:tr w14:paraId="2F7D3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3D9F87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EBF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2B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0B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57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F8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257D">
            <w:pPr>
              <w:jc w:val="center"/>
              <w:rPr>
                <w:rFonts w:hint="eastAsia" w:ascii="等线" w:hAnsi="等线" w:eastAsia="等线" w:cs="等线"/>
                <w:i w:val="0"/>
                <w:iCs w:val="0"/>
                <w:color w:val="auto"/>
                <w:sz w:val="22"/>
                <w:szCs w:val="22"/>
                <w:highlight w:val="none"/>
                <w:u w:val="none"/>
              </w:rPr>
            </w:pPr>
          </w:p>
        </w:tc>
      </w:tr>
      <w:tr w14:paraId="24BA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F60680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710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60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CAE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98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DAE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D1E1">
            <w:pPr>
              <w:jc w:val="center"/>
              <w:rPr>
                <w:rFonts w:hint="eastAsia" w:ascii="等线" w:hAnsi="等线" w:eastAsia="等线" w:cs="等线"/>
                <w:i w:val="0"/>
                <w:iCs w:val="0"/>
                <w:color w:val="auto"/>
                <w:sz w:val="22"/>
                <w:szCs w:val="22"/>
                <w:highlight w:val="none"/>
                <w:u w:val="none"/>
              </w:rPr>
            </w:pPr>
          </w:p>
        </w:tc>
      </w:tr>
      <w:tr w14:paraId="29742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DD23DA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3314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BA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F6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D9C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90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8CE8F">
            <w:pPr>
              <w:jc w:val="center"/>
              <w:rPr>
                <w:rFonts w:hint="eastAsia" w:ascii="等线" w:hAnsi="等线" w:eastAsia="等线" w:cs="等线"/>
                <w:i w:val="0"/>
                <w:iCs w:val="0"/>
                <w:color w:val="auto"/>
                <w:sz w:val="22"/>
                <w:szCs w:val="22"/>
                <w:highlight w:val="none"/>
                <w:u w:val="none"/>
              </w:rPr>
            </w:pPr>
          </w:p>
        </w:tc>
      </w:tr>
      <w:tr w14:paraId="3D74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2F0701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8C09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76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33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03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9F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091A">
            <w:pPr>
              <w:jc w:val="center"/>
              <w:rPr>
                <w:rFonts w:hint="eastAsia" w:ascii="等线" w:hAnsi="等线" w:eastAsia="等线" w:cs="等线"/>
                <w:i w:val="0"/>
                <w:iCs w:val="0"/>
                <w:color w:val="auto"/>
                <w:sz w:val="22"/>
                <w:szCs w:val="22"/>
                <w:highlight w:val="none"/>
                <w:u w:val="none"/>
              </w:rPr>
            </w:pPr>
          </w:p>
        </w:tc>
      </w:tr>
      <w:tr w14:paraId="4142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42261D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3B7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37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4FC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38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BD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07B7">
            <w:pPr>
              <w:jc w:val="center"/>
              <w:rPr>
                <w:rFonts w:hint="eastAsia" w:ascii="等线" w:hAnsi="等线" w:eastAsia="等线" w:cs="等线"/>
                <w:i w:val="0"/>
                <w:iCs w:val="0"/>
                <w:color w:val="auto"/>
                <w:sz w:val="22"/>
                <w:szCs w:val="22"/>
                <w:highlight w:val="none"/>
                <w:u w:val="none"/>
              </w:rPr>
            </w:pPr>
          </w:p>
        </w:tc>
      </w:tr>
      <w:tr w14:paraId="040C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D3DD55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BE0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60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F7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33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919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27A2">
            <w:pPr>
              <w:jc w:val="center"/>
              <w:rPr>
                <w:rFonts w:hint="eastAsia" w:ascii="等线" w:hAnsi="等线" w:eastAsia="等线" w:cs="等线"/>
                <w:i w:val="0"/>
                <w:iCs w:val="0"/>
                <w:color w:val="auto"/>
                <w:sz w:val="22"/>
                <w:szCs w:val="22"/>
                <w:highlight w:val="none"/>
                <w:u w:val="none"/>
              </w:rPr>
            </w:pPr>
          </w:p>
        </w:tc>
      </w:tr>
      <w:tr w14:paraId="12003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05D349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991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672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D4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D6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3F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2D32">
            <w:pPr>
              <w:jc w:val="center"/>
              <w:rPr>
                <w:rFonts w:hint="eastAsia" w:ascii="等线" w:hAnsi="等线" w:eastAsia="等线" w:cs="等线"/>
                <w:i w:val="0"/>
                <w:iCs w:val="0"/>
                <w:color w:val="auto"/>
                <w:sz w:val="22"/>
                <w:szCs w:val="22"/>
                <w:highlight w:val="none"/>
                <w:u w:val="none"/>
              </w:rPr>
            </w:pPr>
          </w:p>
        </w:tc>
      </w:tr>
      <w:tr w14:paraId="25B2B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402729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3F92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D1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A4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6A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BD19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9405">
            <w:pPr>
              <w:jc w:val="center"/>
              <w:rPr>
                <w:rFonts w:hint="eastAsia" w:ascii="等线" w:hAnsi="等线" w:eastAsia="等线" w:cs="等线"/>
                <w:i w:val="0"/>
                <w:iCs w:val="0"/>
                <w:color w:val="auto"/>
                <w:sz w:val="22"/>
                <w:szCs w:val="22"/>
                <w:highlight w:val="none"/>
                <w:u w:val="none"/>
              </w:rPr>
            </w:pPr>
          </w:p>
        </w:tc>
      </w:tr>
      <w:tr w14:paraId="57ED4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8FF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3F东弱电间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191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1B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D5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A380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6A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r>
      <w:tr w14:paraId="25539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E971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812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BD3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D0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1E4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F50B">
            <w:pPr>
              <w:jc w:val="center"/>
              <w:rPr>
                <w:rFonts w:hint="eastAsia" w:ascii="等线" w:hAnsi="等线" w:eastAsia="等线" w:cs="等线"/>
                <w:i w:val="0"/>
                <w:iCs w:val="0"/>
                <w:color w:val="auto"/>
                <w:sz w:val="22"/>
                <w:szCs w:val="22"/>
                <w:highlight w:val="none"/>
                <w:u w:val="none"/>
              </w:rPr>
            </w:pPr>
          </w:p>
        </w:tc>
      </w:tr>
      <w:tr w14:paraId="3860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D3736">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08B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94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744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1EA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8C84">
            <w:pPr>
              <w:jc w:val="center"/>
              <w:rPr>
                <w:rFonts w:hint="eastAsia" w:ascii="等线" w:hAnsi="等线" w:eastAsia="等线" w:cs="等线"/>
                <w:i w:val="0"/>
                <w:iCs w:val="0"/>
                <w:color w:val="auto"/>
                <w:sz w:val="22"/>
                <w:szCs w:val="22"/>
                <w:highlight w:val="none"/>
                <w:u w:val="none"/>
              </w:rPr>
            </w:pPr>
          </w:p>
        </w:tc>
      </w:tr>
      <w:tr w14:paraId="21BA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6D6AF">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22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眼鼻喉科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7EE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06F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CB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9E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7DD7">
            <w:pPr>
              <w:jc w:val="center"/>
              <w:rPr>
                <w:rFonts w:hint="eastAsia" w:ascii="等线" w:hAnsi="等线" w:eastAsia="等线" w:cs="等线"/>
                <w:i w:val="0"/>
                <w:iCs w:val="0"/>
                <w:color w:val="auto"/>
                <w:sz w:val="22"/>
                <w:szCs w:val="22"/>
                <w:highlight w:val="none"/>
                <w:u w:val="none"/>
              </w:rPr>
            </w:pPr>
          </w:p>
        </w:tc>
      </w:tr>
      <w:tr w14:paraId="7B6B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C69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7D6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F1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5D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5B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88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75B9">
            <w:pPr>
              <w:jc w:val="center"/>
              <w:rPr>
                <w:rFonts w:hint="eastAsia" w:ascii="等线" w:hAnsi="等线" w:eastAsia="等线" w:cs="等线"/>
                <w:i w:val="0"/>
                <w:iCs w:val="0"/>
                <w:color w:val="auto"/>
                <w:sz w:val="22"/>
                <w:szCs w:val="22"/>
                <w:highlight w:val="none"/>
                <w:u w:val="none"/>
              </w:rPr>
            </w:pPr>
          </w:p>
        </w:tc>
      </w:tr>
      <w:tr w14:paraId="2963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F97B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F9C3">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16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测听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BB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D7A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F3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273B">
            <w:pPr>
              <w:jc w:val="center"/>
              <w:rPr>
                <w:rFonts w:hint="eastAsia" w:ascii="等线" w:hAnsi="等线" w:eastAsia="等线" w:cs="等线"/>
                <w:i w:val="0"/>
                <w:iCs w:val="0"/>
                <w:color w:val="auto"/>
                <w:sz w:val="22"/>
                <w:szCs w:val="22"/>
                <w:highlight w:val="none"/>
                <w:u w:val="none"/>
              </w:rPr>
            </w:pPr>
          </w:p>
        </w:tc>
      </w:tr>
      <w:tr w14:paraId="1DF3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D34A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39DD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CD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F2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DD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F6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6A010">
            <w:pPr>
              <w:jc w:val="center"/>
              <w:rPr>
                <w:rFonts w:hint="eastAsia" w:ascii="等线" w:hAnsi="等线" w:eastAsia="等线" w:cs="等线"/>
                <w:i w:val="0"/>
                <w:iCs w:val="0"/>
                <w:color w:val="auto"/>
                <w:sz w:val="22"/>
                <w:szCs w:val="22"/>
                <w:highlight w:val="none"/>
                <w:u w:val="none"/>
              </w:rPr>
            </w:pPr>
          </w:p>
        </w:tc>
      </w:tr>
      <w:tr w14:paraId="4C9A9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515BC">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84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口腔科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57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治疗区</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E0A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FB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1D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7845">
            <w:pPr>
              <w:jc w:val="center"/>
              <w:rPr>
                <w:rFonts w:hint="eastAsia" w:ascii="等线" w:hAnsi="等线" w:eastAsia="等线" w:cs="等线"/>
                <w:i w:val="0"/>
                <w:iCs w:val="0"/>
                <w:color w:val="auto"/>
                <w:sz w:val="22"/>
                <w:szCs w:val="22"/>
                <w:highlight w:val="none"/>
                <w:u w:val="none"/>
              </w:rPr>
            </w:pPr>
          </w:p>
        </w:tc>
      </w:tr>
      <w:tr w14:paraId="71D7A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FF0E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D41A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77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C0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F3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81A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2066">
            <w:pPr>
              <w:jc w:val="center"/>
              <w:rPr>
                <w:rFonts w:hint="eastAsia" w:ascii="等线" w:hAnsi="等线" w:eastAsia="等线" w:cs="等线"/>
                <w:i w:val="0"/>
                <w:iCs w:val="0"/>
                <w:color w:val="auto"/>
                <w:sz w:val="22"/>
                <w:szCs w:val="22"/>
                <w:highlight w:val="none"/>
                <w:u w:val="none"/>
              </w:rPr>
            </w:pPr>
          </w:p>
        </w:tc>
      </w:tr>
      <w:tr w14:paraId="47A1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4B13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61A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3B9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口腔治疗</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856F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6A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3C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058C6">
            <w:pPr>
              <w:jc w:val="center"/>
              <w:rPr>
                <w:rFonts w:hint="eastAsia" w:ascii="等线" w:hAnsi="等线" w:eastAsia="等线" w:cs="等线"/>
                <w:i w:val="0"/>
                <w:iCs w:val="0"/>
                <w:color w:val="auto"/>
                <w:sz w:val="22"/>
                <w:szCs w:val="22"/>
                <w:highlight w:val="none"/>
                <w:u w:val="none"/>
              </w:rPr>
            </w:pPr>
          </w:p>
        </w:tc>
      </w:tr>
      <w:tr w14:paraId="408A4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988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283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06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种牙室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39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25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50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1565">
            <w:pPr>
              <w:jc w:val="center"/>
              <w:rPr>
                <w:rFonts w:hint="eastAsia" w:ascii="等线" w:hAnsi="等线" w:eastAsia="等线" w:cs="等线"/>
                <w:i w:val="0"/>
                <w:iCs w:val="0"/>
                <w:color w:val="auto"/>
                <w:sz w:val="22"/>
                <w:szCs w:val="22"/>
                <w:highlight w:val="none"/>
                <w:u w:val="none"/>
              </w:rPr>
            </w:pPr>
          </w:p>
        </w:tc>
      </w:tr>
      <w:tr w14:paraId="39669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88C7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0DB0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2E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X光室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027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D4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37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ECFE">
            <w:pPr>
              <w:jc w:val="center"/>
              <w:rPr>
                <w:rFonts w:hint="eastAsia" w:ascii="等线" w:hAnsi="等线" w:eastAsia="等线" w:cs="等线"/>
                <w:i w:val="0"/>
                <w:iCs w:val="0"/>
                <w:color w:val="auto"/>
                <w:sz w:val="22"/>
                <w:szCs w:val="22"/>
                <w:highlight w:val="none"/>
                <w:u w:val="none"/>
              </w:rPr>
            </w:pPr>
          </w:p>
        </w:tc>
      </w:tr>
      <w:tr w14:paraId="2558B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F443">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E4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皮肤科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E0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咨询室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7F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699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37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A3BB">
            <w:pPr>
              <w:jc w:val="center"/>
              <w:rPr>
                <w:rFonts w:hint="eastAsia" w:ascii="等线" w:hAnsi="等线" w:eastAsia="等线" w:cs="等线"/>
                <w:i w:val="0"/>
                <w:iCs w:val="0"/>
                <w:color w:val="auto"/>
                <w:sz w:val="22"/>
                <w:szCs w:val="22"/>
                <w:highlight w:val="none"/>
                <w:u w:val="none"/>
              </w:rPr>
            </w:pPr>
          </w:p>
        </w:tc>
      </w:tr>
      <w:tr w14:paraId="5A59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ADF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2352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539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632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3E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EE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D5AFD">
            <w:pPr>
              <w:jc w:val="center"/>
              <w:rPr>
                <w:rFonts w:hint="eastAsia" w:ascii="等线" w:hAnsi="等线" w:eastAsia="等线" w:cs="等线"/>
                <w:i w:val="0"/>
                <w:iCs w:val="0"/>
                <w:color w:val="auto"/>
                <w:sz w:val="22"/>
                <w:szCs w:val="22"/>
                <w:highlight w:val="none"/>
                <w:u w:val="none"/>
              </w:rPr>
            </w:pPr>
          </w:p>
        </w:tc>
      </w:tr>
      <w:tr w14:paraId="1C71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E0EC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AC1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9B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76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E0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CB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4B4D">
            <w:pPr>
              <w:jc w:val="center"/>
              <w:rPr>
                <w:rFonts w:hint="eastAsia" w:ascii="等线" w:hAnsi="等线" w:eastAsia="等线" w:cs="等线"/>
                <w:i w:val="0"/>
                <w:iCs w:val="0"/>
                <w:color w:val="auto"/>
                <w:sz w:val="22"/>
                <w:szCs w:val="22"/>
                <w:highlight w:val="none"/>
                <w:u w:val="none"/>
              </w:rPr>
            </w:pPr>
          </w:p>
        </w:tc>
      </w:tr>
      <w:tr w14:paraId="1872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CE49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9E2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35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0D3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BD2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55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02C6">
            <w:pPr>
              <w:jc w:val="center"/>
              <w:rPr>
                <w:rFonts w:hint="eastAsia" w:ascii="等线" w:hAnsi="等线" w:eastAsia="等线" w:cs="等线"/>
                <w:i w:val="0"/>
                <w:iCs w:val="0"/>
                <w:color w:val="auto"/>
                <w:sz w:val="22"/>
                <w:szCs w:val="22"/>
                <w:highlight w:val="none"/>
                <w:u w:val="none"/>
              </w:rPr>
            </w:pPr>
          </w:p>
        </w:tc>
      </w:tr>
      <w:tr w14:paraId="5595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023D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FE4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F0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77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DA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8DB83">
            <w:pPr>
              <w:jc w:val="center"/>
              <w:rPr>
                <w:rFonts w:hint="eastAsia" w:ascii="等线" w:hAnsi="等线" w:eastAsia="等线" w:cs="等线"/>
                <w:i w:val="0"/>
                <w:iCs w:val="0"/>
                <w:color w:val="auto"/>
                <w:sz w:val="22"/>
                <w:szCs w:val="22"/>
                <w:highlight w:val="none"/>
                <w:u w:val="none"/>
              </w:rPr>
            </w:pPr>
          </w:p>
        </w:tc>
      </w:tr>
      <w:tr w14:paraId="5AB1F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7B0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3F西弱电间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49F0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00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77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E7F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280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r>
      <w:tr w14:paraId="51228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AD3C">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5C4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04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754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34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925F">
            <w:pPr>
              <w:jc w:val="center"/>
              <w:rPr>
                <w:rFonts w:hint="eastAsia" w:ascii="等线" w:hAnsi="等线" w:eastAsia="等线" w:cs="等线"/>
                <w:i w:val="0"/>
                <w:iCs w:val="0"/>
                <w:color w:val="auto"/>
                <w:sz w:val="22"/>
                <w:szCs w:val="22"/>
                <w:highlight w:val="none"/>
                <w:u w:val="none"/>
              </w:rPr>
            </w:pPr>
          </w:p>
        </w:tc>
      </w:tr>
      <w:tr w14:paraId="42545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8ACFA">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1F0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CD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E4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BE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AE9F">
            <w:pPr>
              <w:jc w:val="center"/>
              <w:rPr>
                <w:rFonts w:hint="eastAsia" w:ascii="等线" w:hAnsi="等线" w:eastAsia="等线" w:cs="等线"/>
                <w:i w:val="0"/>
                <w:iCs w:val="0"/>
                <w:color w:val="auto"/>
                <w:sz w:val="22"/>
                <w:szCs w:val="22"/>
                <w:highlight w:val="none"/>
                <w:u w:val="none"/>
              </w:rPr>
            </w:pPr>
          </w:p>
        </w:tc>
      </w:tr>
      <w:tr w14:paraId="2DCD2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EA6A7">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62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社区服务</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92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家庭医生诊室（4间）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60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8EB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36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109B4">
            <w:pPr>
              <w:jc w:val="center"/>
              <w:rPr>
                <w:rFonts w:hint="eastAsia" w:ascii="等线" w:hAnsi="等线" w:eastAsia="等线" w:cs="等线"/>
                <w:i w:val="0"/>
                <w:iCs w:val="0"/>
                <w:color w:val="auto"/>
                <w:sz w:val="22"/>
                <w:szCs w:val="22"/>
                <w:highlight w:val="none"/>
                <w:u w:val="none"/>
              </w:rPr>
            </w:pPr>
          </w:p>
        </w:tc>
      </w:tr>
      <w:tr w14:paraId="2949A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E68B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DE7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46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家庭医生签约室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0DF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21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2F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D3799">
            <w:pPr>
              <w:jc w:val="center"/>
              <w:rPr>
                <w:rFonts w:hint="eastAsia" w:ascii="等线" w:hAnsi="等线" w:eastAsia="等线" w:cs="等线"/>
                <w:i w:val="0"/>
                <w:iCs w:val="0"/>
                <w:color w:val="auto"/>
                <w:sz w:val="22"/>
                <w:szCs w:val="22"/>
                <w:highlight w:val="none"/>
                <w:u w:val="none"/>
              </w:rPr>
            </w:pPr>
          </w:p>
        </w:tc>
      </w:tr>
      <w:tr w14:paraId="1B2F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DB63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7E8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D7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F0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F1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3B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D704">
            <w:pPr>
              <w:jc w:val="center"/>
              <w:rPr>
                <w:rFonts w:hint="eastAsia" w:ascii="等线" w:hAnsi="等线" w:eastAsia="等线" w:cs="等线"/>
                <w:i w:val="0"/>
                <w:iCs w:val="0"/>
                <w:color w:val="auto"/>
                <w:sz w:val="22"/>
                <w:szCs w:val="22"/>
                <w:highlight w:val="none"/>
                <w:u w:val="none"/>
              </w:rPr>
            </w:pPr>
          </w:p>
        </w:tc>
      </w:tr>
      <w:tr w14:paraId="78DE9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6D96C">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03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35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08D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6E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24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3931">
            <w:pPr>
              <w:jc w:val="center"/>
              <w:rPr>
                <w:rFonts w:hint="eastAsia" w:ascii="等线" w:hAnsi="等线" w:eastAsia="等线" w:cs="等线"/>
                <w:i w:val="0"/>
                <w:iCs w:val="0"/>
                <w:color w:val="auto"/>
                <w:sz w:val="22"/>
                <w:szCs w:val="22"/>
                <w:highlight w:val="none"/>
                <w:u w:val="none"/>
              </w:rPr>
            </w:pPr>
          </w:p>
        </w:tc>
      </w:tr>
      <w:tr w14:paraId="2E170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ADEE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49D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5D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检查室（2间）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B89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F9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94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2067">
            <w:pPr>
              <w:jc w:val="center"/>
              <w:rPr>
                <w:rFonts w:hint="eastAsia" w:ascii="等线" w:hAnsi="等线" w:eastAsia="等线" w:cs="等线"/>
                <w:i w:val="0"/>
                <w:iCs w:val="0"/>
                <w:color w:val="auto"/>
                <w:sz w:val="22"/>
                <w:szCs w:val="22"/>
                <w:highlight w:val="none"/>
                <w:u w:val="none"/>
              </w:rPr>
            </w:pPr>
          </w:p>
        </w:tc>
      </w:tr>
      <w:tr w14:paraId="3035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74D4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2863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5D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ED2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910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1A0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9304">
            <w:pPr>
              <w:jc w:val="center"/>
              <w:rPr>
                <w:rFonts w:hint="eastAsia" w:ascii="等线" w:hAnsi="等线" w:eastAsia="等线" w:cs="等线"/>
                <w:i w:val="0"/>
                <w:iCs w:val="0"/>
                <w:color w:val="auto"/>
                <w:sz w:val="22"/>
                <w:szCs w:val="22"/>
                <w:highlight w:val="none"/>
                <w:u w:val="none"/>
              </w:rPr>
            </w:pPr>
          </w:p>
        </w:tc>
      </w:tr>
      <w:tr w14:paraId="5A29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7E98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E803">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A8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5E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DFE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20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182A">
            <w:pPr>
              <w:jc w:val="center"/>
              <w:rPr>
                <w:rFonts w:hint="eastAsia" w:ascii="等线" w:hAnsi="等线" w:eastAsia="等线" w:cs="等线"/>
                <w:i w:val="0"/>
                <w:iCs w:val="0"/>
                <w:color w:val="auto"/>
                <w:sz w:val="22"/>
                <w:szCs w:val="22"/>
                <w:highlight w:val="none"/>
                <w:u w:val="none"/>
              </w:rPr>
            </w:pPr>
          </w:p>
        </w:tc>
      </w:tr>
      <w:tr w14:paraId="7D45E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AE1DE">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BE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B0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诊室（3间）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09F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AB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3F6F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0A8A">
            <w:pPr>
              <w:jc w:val="center"/>
              <w:rPr>
                <w:rFonts w:hint="eastAsia" w:ascii="等线" w:hAnsi="等线" w:eastAsia="等线" w:cs="等线"/>
                <w:i w:val="0"/>
                <w:iCs w:val="0"/>
                <w:color w:val="auto"/>
                <w:sz w:val="22"/>
                <w:szCs w:val="22"/>
                <w:highlight w:val="none"/>
                <w:u w:val="none"/>
              </w:rPr>
            </w:pPr>
          </w:p>
        </w:tc>
      </w:tr>
      <w:tr w14:paraId="7469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7E0BE">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18A6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4A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宣教室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EA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96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EDA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5AE4">
            <w:pPr>
              <w:jc w:val="center"/>
              <w:rPr>
                <w:rFonts w:hint="eastAsia" w:ascii="等线" w:hAnsi="等线" w:eastAsia="等线" w:cs="等线"/>
                <w:i w:val="0"/>
                <w:iCs w:val="0"/>
                <w:color w:val="auto"/>
                <w:sz w:val="22"/>
                <w:szCs w:val="22"/>
                <w:highlight w:val="none"/>
                <w:u w:val="none"/>
              </w:rPr>
            </w:pPr>
          </w:p>
        </w:tc>
      </w:tr>
      <w:tr w14:paraId="03861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9AF8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53D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3C5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妊娠疾病诊察室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B2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EEC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FE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6A42">
            <w:pPr>
              <w:jc w:val="center"/>
              <w:rPr>
                <w:rFonts w:hint="eastAsia" w:ascii="等线" w:hAnsi="等线" w:eastAsia="等线" w:cs="等线"/>
                <w:i w:val="0"/>
                <w:iCs w:val="0"/>
                <w:color w:val="auto"/>
                <w:sz w:val="22"/>
                <w:szCs w:val="22"/>
                <w:highlight w:val="none"/>
                <w:u w:val="none"/>
              </w:rPr>
            </w:pPr>
          </w:p>
        </w:tc>
      </w:tr>
      <w:tr w14:paraId="5A93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76AE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B5D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89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99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AD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1FC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CB39">
            <w:pPr>
              <w:jc w:val="center"/>
              <w:rPr>
                <w:rFonts w:hint="eastAsia" w:ascii="等线" w:hAnsi="等线" w:eastAsia="等线" w:cs="等线"/>
                <w:i w:val="0"/>
                <w:iCs w:val="0"/>
                <w:color w:val="auto"/>
                <w:sz w:val="22"/>
                <w:szCs w:val="22"/>
                <w:highlight w:val="none"/>
                <w:u w:val="none"/>
              </w:rPr>
            </w:pPr>
          </w:p>
        </w:tc>
      </w:tr>
      <w:tr w14:paraId="7126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7A5A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9B9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C49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胎监室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EB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EF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B0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E2E4">
            <w:pPr>
              <w:jc w:val="center"/>
              <w:rPr>
                <w:rFonts w:hint="eastAsia" w:ascii="等线" w:hAnsi="等线" w:eastAsia="等线" w:cs="等线"/>
                <w:i w:val="0"/>
                <w:iCs w:val="0"/>
                <w:color w:val="auto"/>
                <w:sz w:val="22"/>
                <w:szCs w:val="22"/>
                <w:highlight w:val="none"/>
                <w:u w:val="none"/>
              </w:rPr>
            </w:pPr>
          </w:p>
        </w:tc>
      </w:tr>
      <w:tr w14:paraId="2E543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539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41F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E0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9FC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7E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22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7947">
            <w:pPr>
              <w:jc w:val="center"/>
              <w:rPr>
                <w:rFonts w:hint="eastAsia" w:ascii="等线" w:hAnsi="等线" w:eastAsia="等线" w:cs="等线"/>
                <w:i w:val="0"/>
                <w:iCs w:val="0"/>
                <w:color w:val="auto"/>
                <w:sz w:val="22"/>
                <w:szCs w:val="22"/>
                <w:highlight w:val="none"/>
                <w:u w:val="none"/>
              </w:rPr>
            </w:pPr>
          </w:p>
        </w:tc>
      </w:tr>
      <w:tr w14:paraId="7C4A5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EE72F">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2A3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78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人流手术室（2间）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F8D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AF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CA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3960">
            <w:pPr>
              <w:jc w:val="center"/>
              <w:rPr>
                <w:rFonts w:hint="eastAsia" w:ascii="等线" w:hAnsi="等线" w:eastAsia="等线" w:cs="等线"/>
                <w:i w:val="0"/>
                <w:iCs w:val="0"/>
                <w:color w:val="auto"/>
                <w:sz w:val="22"/>
                <w:szCs w:val="22"/>
                <w:highlight w:val="none"/>
                <w:u w:val="none"/>
              </w:rPr>
            </w:pPr>
          </w:p>
        </w:tc>
      </w:tr>
      <w:tr w14:paraId="6055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06FC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D37F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52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63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2E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AE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9150">
            <w:pPr>
              <w:jc w:val="center"/>
              <w:rPr>
                <w:rFonts w:hint="eastAsia" w:ascii="等线" w:hAnsi="等线" w:eastAsia="等线" w:cs="等线"/>
                <w:i w:val="0"/>
                <w:iCs w:val="0"/>
                <w:color w:val="auto"/>
                <w:sz w:val="22"/>
                <w:szCs w:val="22"/>
                <w:highlight w:val="none"/>
                <w:u w:val="none"/>
              </w:rPr>
            </w:pPr>
          </w:p>
        </w:tc>
      </w:tr>
      <w:tr w14:paraId="03E30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FD5F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F19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B4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90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DD4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E2F9">
            <w:pPr>
              <w:jc w:val="center"/>
              <w:rPr>
                <w:rFonts w:hint="eastAsia" w:ascii="等线" w:hAnsi="等线" w:eastAsia="等线" w:cs="等线"/>
                <w:i w:val="0"/>
                <w:iCs w:val="0"/>
                <w:color w:val="auto"/>
                <w:sz w:val="22"/>
                <w:szCs w:val="22"/>
                <w:highlight w:val="none"/>
                <w:u w:val="none"/>
              </w:rPr>
            </w:pPr>
          </w:p>
        </w:tc>
      </w:tr>
      <w:tr w14:paraId="2B8F9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E645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4F东弱电间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156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开放办公室1</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C4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52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FF8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3B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r>
      <w:tr w14:paraId="36F0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67391">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1F5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开放办公室2</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86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B7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5FB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BE1B">
            <w:pPr>
              <w:jc w:val="center"/>
              <w:rPr>
                <w:rFonts w:hint="eastAsia" w:ascii="等线" w:hAnsi="等线" w:eastAsia="等线" w:cs="等线"/>
                <w:i w:val="0"/>
                <w:iCs w:val="0"/>
                <w:color w:val="auto"/>
                <w:sz w:val="22"/>
                <w:szCs w:val="22"/>
                <w:highlight w:val="none"/>
                <w:u w:val="none"/>
              </w:rPr>
            </w:pPr>
          </w:p>
        </w:tc>
      </w:tr>
      <w:tr w14:paraId="78848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30E54">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A35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院长办公室（4间）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59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41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D4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81D9C">
            <w:pPr>
              <w:jc w:val="center"/>
              <w:rPr>
                <w:rFonts w:hint="eastAsia" w:ascii="等线" w:hAnsi="等线" w:eastAsia="等线" w:cs="等线"/>
                <w:i w:val="0"/>
                <w:iCs w:val="0"/>
                <w:color w:val="auto"/>
                <w:sz w:val="22"/>
                <w:szCs w:val="22"/>
                <w:highlight w:val="none"/>
                <w:u w:val="none"/>
              </w:rPr>
            </w:pPr>
          </w:p>
        </w:tc>
      </w:tr>
      <w:tr w14:paraId="734F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C0B4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ECC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小会议室（2间）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DB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785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5A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7B11">
            <w:pPr>
              <w:jc w:val="center"/>
              <w:rPr>
                <w:rFonts w:hint="eastAsia" w:ascii="等线" w:hAnsi="等线" w:eastAsia="等线" w:cs="等线"/>
                <w:i w:val="0"/>
                <w:iCs w:val="0"/>
                <w:color w:val="auto"/>
                <w:sz w:val="22"/>
                <w:szCs w:val="22"/>
                <w:highlight w:val="none"/>
                <w:u w:val="none"/>
              </w:rPr>
            </w:pPr>
          </w:p>
        </w:tc>
      </w:tr>
      <w:tr w14:paraId="1BAE7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74244">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nil"/>
              <w:right w:val="single" w:color="000000" w:sz="4" w:space="0"/>
            </w:tcBorders>
            <w:shd w:val="clear" w:color="auto" w:fill="auto"/>
            <w:vAlign w:val="center"/>
          </w:tcPr>
          <w:p w14:paraId="1F656E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大会议室</w:t>
            </w:r>
          </w:p>
        </w:tc>
        <w:tc>
          <w:tcPr>
            <w:tcW w:w="1053" w:type="dxa"/>
            <w:tcBorders>
              <w:top w:val="single" w:color="000000" w:sz="4" w:space="0"/>
              <w:left w:val="single" w:color="000000" w:sz="4" w:space="0"/>
              <w:bottom w:val="nil"/>
              <w:right w:val="single" w:color="000000" w:sz="4" w:space="0"/>
            </w:tcBorders>
            <w:shd w:val="clear" w:color="auto" w:fill="auto"/>
            <w:noWrap/>
            <w:vAlign w:val="center"/>
          </w:tcPr>
          <w:p w14:paraId="7FC47E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54DA61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nil"/>
              <w:right w:val="single" w:color="000000" w:sz="4" w:space="0"/>
            </w:tcBorders>
            <w:shd w:val="clear" w:color="auto" w:fill="auto"/>
            <w:noWrap/>
            <w:vAlign w:val="center"/>
          </w:tcPr>
          <w:p w14:paraId="79EABF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8203">
            <w:pPr>
              <w:jc w:val="center"/>
              <w:rPr>
                <w:rFonts w:hint="eastAsia" w:ascii="等线" w:hAnsi="等线" w:eastAsia="等线" w:cs="等线"/>
                <w:i w:val="0"/>
                <w:iCs w:val="0"/>
                <w:color w:val="auto"/>
                <w:sz w:val="22"/>
                <w:szCs w:val="22"/>
                <w:highlight w:val="none"/>
                <w:u w:val="none"/>
              </w:rPr>
            </w:pPr>
          </w:p>
        </w:tc>
      </w:tr>
      <w:tr w14:paraId="2093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5951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4F西弱电间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41A0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B9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DE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27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EEFE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r>
      <w:tr w14:paraId="6402E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3805A">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C7E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开放办公室1</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A76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2E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34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DEFF8">
            <w:pPr>
              <w:jc w:val="center"/>
              <w:rPr>
                <w:rFonts w:hint="eastAsia" w:ascii="等线" w:hAnsi="等线" w:eastAsia="等线" w:cs="等线"/>
                <w:i w:val="0"/>
                <w:iCs w:val="0"/>
                <w:color w:val="auto"/>
                <w:sz w:val="22"/>
                <w:szCs w:val="22"/>
                <w:highlight w:val="none"/>
                <w:u w:val="none"/>
              </w:rPr>
            </w:pPr>
          </w:p>
        </w:tc>
      </w:tr>
      <w:tr w14:paraId="70FAD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56B2">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0D0D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14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55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F7B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F60E">
            <w:pPr>
              <w:jc w:val="center"/>
              <w:rPr>
                <w:rFonts w:hint="eastAsia" w:ascii="等线" w:hAnsi="等线" w:eastAsia="等线" w:cs="等线"/>
                <w:i w:val="0"/>
                <w:iCs w:val="0"/>
                <w:color w:val="auto"/>
                <w:sz w:val="22"/>
                <w:szCs w:val="22"/>
                <w:highlight w:val="none"/>
                <w:u w:val="none"/>
              </w:rPr>
            </w:pPr>
          </w:p>
        </w:tc>
      </w:tr>
      <w:tr w14:paraId="3BB1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0FF9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745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开放办公室2</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30F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48</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7A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3BF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9931">
            <w:pPr>
              <w:jc w:val="center"/>
              <w:rPr>
                <w:rFonts w:hint="eastAsia" w:ascii="等线" w:hAnsi="等线" w:eastAsia="等线" w:cs="等线"/>
                <w:i w:val="0"/>
                <w:iCs w:val="0"/>
                <w:color w:val="auto"/>
                <w:sz w:val="22"/>
                <w:szCs w:val="22"/>
                <w:highlight w:val="none"/>
                <w:u w:val="none"/>
              </w:rPr>
            </w:pPr>
          </w:p>
        </w:tc>
      </w:tr>
      <w:tr w14:paraId="5780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5C28">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E55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237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75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45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ECCC">
            <w:pPr>
              <w:jc w:val="center"/>
              <w:rPr>
                <w:rFonts w:hint="eastAsia" w:ascii="等线" w:hAnsi="等线" w:eastAsia="等线" w:cs="等线"/>
                <w:i w:val="0"/>
                <w:iCs w:val="0"/>
                <w:color w:val="auto"/>
                <w:sz w:val="22"/>
                <w:szCs w:val="22"/>
                <w:highlight w:val="none"/>
                <w:u w:val="none"/>
              </w:rPr>
            </w:pPr>
          </w:p>
        </w:tc>
      </w:tr>
      <w:tr w14:paraId="06F13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AF33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3FBB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病案阅览室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33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20</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5C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42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12F7">
            <w:pPr>
              <w:jc w:val="center"/>
              <w:rPr>
                <w:rFonts w:hint="eastAsia" w:ascii="等线" w:hAnsi="等线" w:eastAsia="等线" w:cs="等线"/>
                <w:i w:val="0"/>
                <w:iCs w:val="0"/>
                <w:color w:val="auto"/>
                <w:sz w:val="22"/>
                <w:szCs w:val="22"/>
                <w:highlight w:val="none"/>
                <w:u w:val="none"/>
              </w:rPr>
            </w:pPr>
          </w:p>
        </w:tc>
      </w:tr>
      <w:tr w14:paraId="4B12A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788E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D22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信息机房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418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D9B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3C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D138">
            <w:pPr>
              <w:jc w:val="center"/>
              <w:rPr>
                <w:rFonts w:hint="eastAsia" w:ascii="等线" w:hAnsi="等线" w:eastAsia="等线" w:cs="等线"/>
                <w:i w:val="0"/>
                <w:iCs w:val="0"/>
                <w:color w:val="auto"/>
                <w:sz w:val="22"/>
                <w:szCs w:val="22"/>
                <w:highlight w:val="none"/>
                <w:u w:val="none"/>
              </w:rPr>
            </w:pPr>
          </w:p>
        </w:tc>
      </w:tr>
      <w:tr w14:paraId="1213E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524C">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7C4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3C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B1C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D2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BB2F">
            <w:pPr>
              <w:jc w:val="center"/>
              <w:rPr>
                <w:rFonts w:hint="eastAsia" w:ascii="等线" w:hAnsi="等线" w:eastAsia="等线" w:cs="等线"/>
                <w:i w:val="0"/>
                <w:iCs w:val="0"/>
                <w:color w:val="auto"/>
                <w:sz w:val="22"/>
                <w:szCs w:val="22"/>
                <w:highlight w:val="none"/>
                <w:u w:val="none"/>
              </w:rPr>
            </w:pPr>
          </w:p>
        </w:tc>
      </w:tr>
      <w:tr w14:paraId="209D2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2E8B34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1F弱电间</w:t>
            </w:r>
          </w:p>
        </w:tc>
        <w:tc>
          <w:tcPr>
            <w:tcW w:w="1175" w:type="dxa"/>
            <w:vMerge w:val="restart"/>
            <w:tcBorders>
              <w:top w:val="single" w:color="000000" w:sz="4" w:space="0"/>
              <w:left w:val="single" w:color="000000" w:sz="4" w:space="0"/>
              <w:bottom w:val="nil"/>
              <w:right w:val="single" w:color="000000" w:sz="4" w:space="0"/>
            </w:tcBorders>
            <w:shd w:val="clear" w:color="auto" w:fill="auto"/>
            <w:noWrap/>
            <w:vAlign w:val="center"/>
          </w:tcPr>
          <w:p w14:paraId="4E6F90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放射科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9C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D3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3F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E01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199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r>
      <w:tr w14:paraId="60936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62A555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25B251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69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PACS机房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87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CEA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729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6F34">
            <w:pPr>
              <w:jc w:val="center"/>
              <w:rPr>
                <w:rFonts w:hint="eastAsia" w:ascii="等线" w:hAnsi="等线" w:eastAsia="等线" w:cs="等线"/>
                <w:i w:val="0"/>
                <w:iCs w:val="0"/>
                <w:color w:val="auto"/>
                <w:sz w:val="22"/>
                <w:szCs w:val="22"/>
                <w:highlight w:val="none"/>
                <w:u w:val="none"/>
              </w:rPr>
            </w:pPr>
          </w:p>
        </w:tc>
      </w:tr>
      <w:tr w14:paraId="1860A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ED2B90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4F6110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18A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DA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E4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0C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62E8B">
            <w:pPr>
              <w:jc w:val="center"/>
              <w:rPr>
                <w:rFonts w:hint="eastAsia" w:ascii="等线" w:hAnsi="等线" w:eastAsia="等线" w:cs="等线"/>
                <w:i w:val="0"/>
                <w:iCs w:val="0"/>
                <w:color w:val="auto"/>
                <w:sz w:val="22"/>
                <w:szCs w:val="22"/>
                <w:highlight w:val="none"/>
                <w:u w:val="none"/>
              </w:rPr>
            </w:pPr>
          </w:p>
        </w:tc>
      </w:tr>
      <w:tr w14:paraId="5069F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3A7F39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2041D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A4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24EB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DD57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86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36802">
            <w:pPr>
              <w:jc w:val="center"/>
              <w:rPr>
                <w:rFonts w:hint="eastAsia" w:ascii="等线" w:hAnsi="等线" w:eastAsia="等线" w:cs="等线"/>
                <w:i w:val="0"/>
                <w:iCs w:val="0"/>
                <w:color w:val="auto"/>
                <w:sz w:val="22"/>
                <w:szCs w:val="22"/>
                <w:highlight w:val="none"/>
                <w:u w:val="none"/>
              </w:rPr>
            </w:pPr>
          </w:p>
        </w:tc>
      </w:tr>
      <w:tr w14:paraId="7CEA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3AECEC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83F818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EB2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DR控制室（5间）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8A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63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389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F1D1">
            <w:pPr>
              <w:jc w:val="center"/>
              <w:rPr>
                <w:rFonts w:hint="eastAsia" w:ascii="等线" w:hAnsi="等线" w:eastAsia="等线" w:cs="等线"/>
                <w:i w:val="0"/>
                <w:iCs w:val="0"/>
                <w:color w:val="auto"/>
                <w:sz w:val="22"/>
                <w:szCs w:val="22"/>
                <w:highlight w:val="none"/>
                <w:u w:val="none"/>
              </w:rPr>
            </w:pPr>
          </w:p>
        </w:tc>
      </w:tr>
      <w:tr w14:paraId="475BF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B6D84C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CC0984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19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胃肠机控制室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7F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4D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46F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42A4">
            <w:pPr>
              <w:jc w:val="center"/>
              <w:rPr>
                <w:rFonts w:hint="eastAsia" w:ascii="等线" w:hAnsi="等线" w:eastAsia="等线" w:cs="等线"/>
                <w:i w:val="0"/>
                <w:iCs w:val="0"/>
                <w:color w:val="auto"/>
                <w:sz w:val="22"/>
                <w:szCs w:val="22"/>
                <w:highlight w:val="none"/>
                <w:u w:val="none"/>
              </w:rPr>
            </w:pPr>
          </w:p>
        </w:tc>
      </w:tr>
      <w:tr w14:paraId="4D16D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BFAC83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376AD9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98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钼靶控制室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77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27D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7FF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04B3">
            <w:pPr>
              <w:jc w:val="center"/>
              <w:rPr>
                <w:rFonts w:hint="eastAsia" w:ascii="等线" w:hAnsi="等线" w:eastAsia="等线" w:cs="等线"/>
                <w:i w:val="0"/>
                <w:iCs w:val="0"/>
                <w:color w:val="auto"/>
                <w:sz w:val="22"/>
                <w:szCs w:val="22"/>
                <w:highlight w:val="none"/>
                <w:u w:val="none"/>
              </w:rPr>
            </w:pPr>
          </w:p>
        </w:tc>
      </w:tr>
      <w:tr w14:paraId="7F3D1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BF9361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F0CA2A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58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CT控制室（2间）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E4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10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D3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33B1">
            <w:pPr>
              <w:jc w:val="center"/>
              <w:rPr>
                <w:rFonts w:hint="eastAsia" w:ascii="等线" w:hAnsi="等线" w:eastAsia="等线" w:cs="等线"/>
                <w:i w:val="0"/>
                <w:iCs w:val="0"/>
                <w:color w:val="auto"/>
                <w:sz w:val="22"/>
                <w:szCs w:val="22"/>
                <w:highlight w:val="none"/>
                <w:u w:val="none"/>
              </w:rPr>
            </w:pPr>
          </w:p>
        </w:tc>
      </w:tr>
      <w:tr w14:paraId="7BB35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128FC0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5D39DC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D6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MR控制室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2B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133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40D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3197">
            <w:pPr>
              <w:jc w:val="center"/>
              <w:rPr>
                <w:rFonts w:hint="eastAsia" w:ascii="等线" w:hAnsi="等线" w:eastAsia="等线" w:cs="等线"/>
                <w:i w:val="0"/>
                <w:iCs w:val="0"/>
                <w:color w:val="auto"/>
                <w:sz w:val="22"/>
                <w:szCs w:val="22"/>
                <w:highlight w:val="none"/>
                <w:u w:val="none"/>
              </w:rPr>
            </w:pPr>
          </w:p>
        </w:tc>
      </w:tr>
      <w:tr w14:paraId="7039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9872EA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CDB6BD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08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20C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9D9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64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2A7C">
            <w:pPr>
              <w:jc w:val="center"/>
              <w:rPr>
                <w:rFonts w:hint="eastAsia" w:ascii="等线" w:hAnsi="等线" w:eastAsia="等线" w:cs="等线"/>
                <w:i w:val="0"/>
                <w:iCs w:val="0"/>
                <w:color w:val="auto"/>
                <w:sz w:val="22"/>
                <w:szCs w:val="22"/>
                <w:highlight w:val="none"/>
                <w:u w:val="none"/>
              </w:rPr>
            </w:pPr>
          </w:p>
        </w:tc>
      </w:tr>
      <w:tr w14:paraId="3EAB8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AD889B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E39D0A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93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通道</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2B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522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7692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805C">
            <w:pPr>
              <w:jc w:val="center"/>
              <w:rPr>
                <w:rFonts w:hint="eastAsia" w:ascii="等线" w:hAnsi="等线" w:eastAsia="等线" w:cs="等线"/>
                <w:i w:val="0"/>
                <w:iCs w:val="0"/>
                <w:color w:val="auto"/>
                <w:sz w:val="22"/>
                <w:szCs w:val="22"/>
                <w:highlight w:val="none"/>
                <w:u w:val="none"/>
              </w:rPr>
            </w:pPr>
          </w:p>
        </w:tc>
      </w:tr>
      <w:tr w14:paraId="5FDA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7DF835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DD3BC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3F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27D7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884B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BB49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F22C">
            <w:pPr>
              <w:jc w:val="center"/>
              <w:rPr>
                <w:rFonts w:hint="eastAsia" w:ascii="等线" w:hAnsi="等线" w:eastAsia="等线" w:cs="等线"/>
                <w:i w:val="0"/>
                <w:iCs w:val="0"/>
                <w:color w:val="auto"/>
                <w:sz w:val="22"/>
                <w:szCs w:val="22"/>
                <w:highlight w:val="none"/>
                <w:u w:val="none"/>
              </w:rPr>
            </w:pPr>
          </w:p>
        </w:tc>
      </w:tr>
      <w:tr w14:paraId="0534F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0A3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2F弱电间</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4C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病理中心</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9F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免疫组化室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11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08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54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81C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r>
      <w:tr w14:paraId="6F1C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E9F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3F00">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9C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报告、拨片、染色、封片、包埋、切片、取材、脱水室（5间）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BC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8AF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B6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9A314">
            <w:pPr>
              <w:jc w:val="center"/>
              <w:rPr>
                <w:rFonts w:hint="eastAsia" w:ascii="等线" w:hAnsi="等线" w:eastAsia="等线" w:cs="等线"/>
                <w:i w:val="0"/>
                <w:iCs w:val="0"/>
                <w:color w:val="auto"/>
                <w:sz w:val="22"/>
                <w:szCs w:val="22"/>
                <w:highlight w:val="none"/>
                <w:u w:val="none"/>
              </w:rPr>
            </w:pPr>
          </w:p>
        </w:tc>
      </w:tr>
      <w:tr w14:paraId="4218B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A542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DC0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33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标本接收室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E3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9A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94D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F90AD">
            <w:pPr>
              <w:jc w:val="center"/>
              <w:rPr>
                <w:rFonts w:hint="eastAsia" w:ascii="等线" w:hAnsi="等线" w:eastAsia="等线" w:cs="等线"/>
                <w:i w:val="0"/>
                <w:iCs w:val="0"/>
                <w:color w:val="auto"/>
                <w:sz w:val="22"/>
                <w:szCs w:val="22"/>
                <w:highlight w:val="none"/>
                <w:u w:val="none"/>
              </w:rPr>
            </w:pPr>
          </w:p>
        </w:tc>
      </w:tr>
      <w:tr w14:paraId="13C9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8F1B5">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1B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内镜中心</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05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肠镜、胃镜、腹腔镜、喉镜、支纤镜（5间）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C8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CE0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DB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9AA6">
            <w:pPr>
              <w:jc w:val="center"/>
              <w:rPr>
                <w:rFonts w:hint="eastAsia" w:ascii="等线" w:hAnsi="等线" w:eastAsia="等线" w:cs="等线"/>
                <w:i w:val="0"/>
                <w:iCs w:val="0"/>
                <w:color w:val="auto"/>
                <w:sz w:val="22"/>
                <w:szCs w:val="22"/>
                <w:highlight w:val="none"/>
                <w:u w:val="none"/>
              </w:rPr>
            </w:pPr>
          </w:p>
        </w:tc>
      </w:tr>
      <w:tr w14:paraId="233F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DE8A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28E6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D75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C9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AB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EC2F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C6B2">
            <w:pPr>
              <w:jc w:val="center"/>
              <w:rPr>
                <w:rFonts w:hint="eastAsia" w:ascii="等线" w:hAnsi="等线" w:eastAsia="等线" w:cs="等线"/>
                <w:i w:val="0"/>
                <w:iCs w:val="0"/>
                <w:color w:val="auto"/>
                <w:sz w:val="22"/>
                <w:szCs w:val="22"/>
                <w:highlight w:val="none"/>
                <w:u w:val="none"/>
              </w:rPr>
            </w:pPr>
          </w:p>
        </w:tc>
      </w:tr>
      <w:tr w14:paraId="63333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B5F2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78FA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FB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07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9C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92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7D932">
            <w:pPr>
              <w:jc w:val="center"/>
              <w:rPr>
                <w:rFonts w:hint="eastAsia" w:ascii="等线" w:hAnsi="等线" w:eastAsia="等线" w:cs="等线"/>
                <w:i w:val="0"/>
                <w:iCs w:val="0"/>
                <w:color w:val="auto"/>
                <w:sz w:val="22"/>
                <w:szCs w:val="22"/>
                <w:highlight w:val="none"/>
                <w:u w:val="none"/>
              </w:rPr>
            </w:pPr>
          </w:p>
        </w:tc>
      </w:tr>
      <w:tr w14:paraId="34913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4FAC0">
            <w:pPr>
              <w:jc w:val="center"/>
              <w:rPr>
                <w:rFonts w:hint="eastAsia" w:ascii="等线" w:hAnsi="等线" w:eastAsia="等线" w:cs="等线"/>
                <w:i w:val="0"/>
                <w:iCs w:val="0"/>
                <w:color w:val="auto"/>
                <w:sz w:val="22"/>
                <w:szCs w:val="22"/>
                <w:highlight w:val="none"/>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82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检验科</w:t>
            </w:r>
          </w:p>
        </w:tc>
        <w:tc>
          <w:tcPr>
            <w:tcW w:w="2031" w:type="dxa"/>
            <w:tcBorders>
              <w:top w:val="single" w:color="000000" w:sz="4" w:space="0"/>
              <w:left w:val="single" w:color="000000" w:sz="4" w:space="0"/>
              <w:bottom w:val="single" w:color="000000" w:sz="4" w:space="0"/>
              <w:right w:val="nil"/>
            </w:tcBorders>
            <w:shd w:val="clear" w:color="auto" w:fill="auto"/>
            <w:vAlign w:val="center"/>
          </w:tcPr>
          <w:p w14:paraId="2F91D4F9">
            <w:pPr>
              <w:rPr>
                <w:rFonts w:hint="eastAsia" w:ascii="等线" w:hAnsi="等线" w:eastAsia="等线" w:cs="等线"/>
                <w:i w:val="0"/>
                <w:iCs w:val="0"/>
                <w:color w:val="auto"/>
                <w:sz w:val="22"/>
                <w:szCs w:val="22"/>
                <w:highlight w:val="none"/>
                <w:u w:val="none"/>
              </w:rPr>
            </w:pPr>
          </w:p>
        </w:tc>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D6F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FDC76">
            <w:pPr>
              <w:jc w:val="center"/>
              <w:rPr>
                <w:rFonts w:hint="eastAsia" w:ascii="等线" w:hAnsi="等线" w:eastAsia="等线" w:cs="等线"/>
                <w:i w:val="0"/>
                <w:iCs w:val="0"/>
                <w:color w:val="auto"/>
                <w:sz w:val="22"/>
                <w:szCs w:val="22"/>
                <w:highlight w:val="none"/>
                <w:u w:val="none"/>
              </w:rPr>
            </w:pPr>
          </w:p>
        </w:tc>
      </w:tr>
      <w:tr w14:paraId="12538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CADA">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E17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功能检查科、超声检查</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98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心电图、动态心电、脑电图、骨密度（4间）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E0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47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744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9095">
            <w:pPr>
              <w:jc w:val="center"/>
              <w:rPr>
                <w:rFonts w:hint="eastAsia" w:ascii="等线" w:hAnsi="等线" w:eastAsia="等线" w:cs="等线"/>
                <w:i w:val="0"/>
                <w:iCs w:val="0"/>
                <w:color w:val="auto"/>
                <w:sz w:val="22"/>
                <w:szCs w:val="22"/>
                <w:highlight w:val="none"/>
                <w:u w:val="none"/>
              </w:rPr>
            </w:pPr>
          </w:p>
        </w:tc>
      </w:tr>
      <w:tr w14:paraId="2A91D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6176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748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A8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电生理、基础代谢、TCD、肺功能（4间）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ED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52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49C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CA138">
            <w:pPr>
              <w:jc w:val="center"/>
              <w:rPr>
                <w:rFonts w:hint="eastAsia" w:ascii="等线" w:hAnsi="等线" w:eastAsia="等线" w:cs="等线"/>
                <w:i w:val="0"/>
                <w:iCs w:val="0"/>
                <w:color w:val="auto"/>
                <w:sz w:val="22"/>
                <w:szCs w:val="22"/>
                <w:highlight w:val="none"/>
                <w:u w:val="none"/>
              </w:rPr>
            </w:pPr>
          </w:p>
        </w:tc>
      </w:tr>
      <w:tr w14:paraId="42A9E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A66B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E9F5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1D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E2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15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DF2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D1CC">
            <w:pPr>
              <w:jc w:val="center"/>
              <w:rPr>
                <w:rFonts w:hint="eastAsia" w:ascii="等线" w:hAnsi="等线" w:eastAsia="等线" w:cs="等线"/>
                <w:i w:val="0"/>
                <w:iCs w:val="0"/>
                <w:color w:val="auto"/>
                <w:sz w:val="22"/>
                <w:szCs w:val="22"/>
                <w:highlight w:val="none"/>
                <w:u w:val="none"/>
              </w:rPr>
            </w:pPr>
          </w:p>
        </w:tc>
      </w:tr>
      <w:tr w14:paraId="4F5F3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95D9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2874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FC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8A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9E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74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0B56">
            <w:pPr>
              <w:jc w:val="center"/>
              <w:rPr>
                <w:rFonts w:hint="eastAsia" w:ascii="等线" w:hAnsi="等线" w:eastAsia="等线" w:cs="等线"/>
                <w:i w:val="0"/>
                <w:iCs w:val="0"/>
                <w:color w:val="auto"/>
                <w:sz w:val="22"/>
                <w:szCs w:val="22"/>
                <w:highlight w:val="none"/>
                <w:u w:val="none"/>
              </w:rPr>
            </w:pPr>
          </w:p>
        </w:tc>
      </w:tr>
      <w:tr w14:paraId="0915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770D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DB14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CE0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B超室（7间）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65B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08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E6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1E93">
            <w:pPr>
              <w:jc w:val="center"/>
              <w:rPr>
                <w:rFonts w:hint="eastAsia" w:ascii="等线" w:hAnsi="等线" w:eastAsia="等线" w:cs="等线"/>
                <w:i w:val="0"/>
                <w:iCs w:val="0"/>
                <w:color w:val="auto"/>
                <w:sz w:val="22"/>
                <w:szCs w:val="22"/>
                <w:highlight w:val="none"/>
                <w:u w:val="none"/>
              </w:rPr>
            </w:pPr>
          </w:p>
        </w:tc>
      </w:tr>
      <w:tr w14:paraId="333F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BD56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1ED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4F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B4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2F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97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DF23">
            <w:pPr>
              <w:jc w:val="center"/>
              <w:rPr>
                <w:rFonts w:hint="eastAsia" w:ascii="等线" w:hAnsi="等线" w:eastAsia="等线" w:cs="等线"/>
                <w:i w:val="0"/>
                <w:iCs w:val="0"/>
                <w:color w:val="auto"/>
                <w:sz w:val="22"/>
                <w:szCs w:val="22"/>
                <w:highlight w:val="none"/>
                <w:u w:val="none"/>
              </w:rPr>
            </w:pPr>
          </w:p>
        </w:tc>
      </w:tr>
      <w:tr w14:paraId="5F6D3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3956340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19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ICU</w:t>
            </w:r>
          </w:p>
        </w:tc>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B8F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D0C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r>
      <w:tr w14:paraId="5A19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55F861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02F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手术部</w:t>
            </w:r>
          </w:p>
        </w:tc>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D23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A37AE">
            <w:pPr>
              <w:jc w:val="center"/>
              <w:rPr>
                <w:rFonts w:hint="eastAsia" w:ascii="等线" w:hAnsi="等线" w:eastAsia="等线" w:cs="等线"/>
                <w:i w:val="0"/>
                <w:iCs w:val="0"/>
                <w:color w:val="auto"/>
                <w:sz w:val="22"/>
                <w:szCs w:val="22"/>
                <w:highlight w:val="none"/>
                <w:u w:val="none"/>
              </w:rPr>
            </w:pPr>
          </w:p>
        </w:tc>
      </w:tr>
      <w:tr w14:paraId="2915A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920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47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供应室</w:t>
            </w:r>
          </w:p>
        </w:tc>
        <w:tc>
          <w:tcPr>
            <w:tcW w:w="314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5E1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206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r>
      <w:tr w14:paraId="50BD7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0DE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30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餐厅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2F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0E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85E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FD5B">
            <w:pPr>
              <w:jc w:val="center"/>
              <w:rPr>
                <w:rFonts w:hint="eastAsia" w:ascii="等线" w:hAnsi="等线" w:eastAsia="等线" w:cs="等线"/>
                <w:i w:val="0"/>
                <w:iCs w:val="0"/>
                <w:color w:val="auto"/>
                <w:sz w:val="22"/>
                <w:szCs w:val="22"/>
                <w:highlight w:val="none"/>
                <w:u w:val="none"/>
              </w:rPr>
            </w:pPr>
          </w:p>
        </w:tc>
      </w:tr>
      <w:tr w14:paraId="6C310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F5AA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CB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消防控制室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88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BC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0B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90ECA">
            <w:pPr>
              <w:jc w:val="center"/>
              <w:rPr>
                <w:rFonts w:hint="eastAsia" w:ascii="等线" w:hAnsi="等线" w:eastAsia="等线" w:cs="等线"/>
                <w:i w:val="0"/>
                <w:iCs w:val="0"/>
                <w:color w:val="auto"/>
                <w:sz w:val="22"/>
                <w:szCs w:val="22"/>
                <w:highlight w:val="none"/>
                <w:u w:val="none"/>
              </w:rPr>
            </w:pPr>
          </w:p>
        </w:tc>
      </w:tr>
      <w:tr w14:paraId="7AD9E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2D4D9">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F4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住院大堂</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C3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68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A0A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4CADD">
            <w:pPr>
              <w:jc w:val="center"/>
              <w:rPr>
                <w:rFonts w:hint="eastAsia" w:ascii="等线" w:hAnsi="等线" w:eastAsia="等线" w:cs="等线"/>
                <w:i w:val="0"/>
                <w:iCs w:val="0"/>
                <w:color w:val="auto"/>
                <w:sz w:val="22"/>
                <w:szCs w:val="22"/>
                <w:highlight w:val="none"/>
                <w:u w:val="none"/>
              </w:rPr>
            </w:pPr>
          </w:p>
        </w:tc>
      </w:tr>
      <w:tr w14:paraId="1DF4B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8F6F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DD0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出入院窗口</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25B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8F4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9F9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51CD5">
            <w:pPr>
              <w:jc w:val="center"/>
              <w:rPr>
                <w:rFonts w:hint="eastAsia" w:ascii="等线" w:hAnsi="等线" w:eastAsia="等线" w:cs="等线"/>
                <w:i w:val="0"/>
                <w:iCs w:val="0"/>
                <w:color w:val="auto"/>
                <w:sz w:val="22"/>
                <w:szCs w:val="22"/>
                <w:highlight w:val="none"/>
                <w:u w:val="none"/>
              </w:rPr>
            </w:pPr>
          </w:p>
        </w:tc>
      </w:tr>
      <w:tr w14:paraId="0EE1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123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2F弱电间</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26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体检中心</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9B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等候区</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BF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69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EC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6B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r>
      <w:tr w14:paraId="40A2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2DB0">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994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09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9B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23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F1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B6D2">
            <w:pPr>
              <w:jc w:val="center"/>
              <w:rPr>
                <w:rFonts w:hint="eastAsia" w:ascii="等线" w:hAnsi="等线" w:eastAsia="等线" w:cs="等线"/>
                <w:i w:val="0"/>
                <w:iCs w:val="0"/>
                <w:color w:val="auto"/>
                <w:sz w:val="22"/>
                <w:szCs w:val="22"/>
                <w:highlight w:val="none"/>
                <w:u w:val="none"/>
              </w:rPr>
            </w:pPr>
          </w:p>
        </w:tc>
      </w:tr>
      <w:tr w14:paraId="0292E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0140E">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37D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1A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3B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28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3E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4ED4">
            <w:pPr>
              <w:jc w:val="center"/>
              <w:rPr>
                <w:rFonts w:hint="eastAsia" w:ascii="等线" w:hAnsi="等线" w:eastAsia="等线" w:cs="等线"/>
                <w:i w:val="0"/>
                <w:iCs w:val="0"/>
                <w:color w:val="auto"/>
                <w:sz w:val="22"/>
                <w:szCs w:val="22"/>
                <w:highlight w:val="none"/>
                <w:u w:val="none"/>
              </w:rPr>
            </w:pPr>
          </w:p>
        </w:tc>
      </w:tr>
      <w:tr w14:paraId="76C48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4B2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47F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77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B0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98D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D8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497E">
            <w:pPr>
              <w:jc w:val="center"/>
              <w:rPr>
                <w:rFonts w:hint="eastAsia" w:ascii="等线" w:hAnsi="等线" w:eastAsia="等线" w:cs="等线"/>
                <w:i w:val="0"/>
                <w:iCs w:val="0"/>
                <w:color w:val="auto"/>
                <w:sz w:val="22"/>
                <w:szCs w:val="22"/>
                <w:highlight w:val="none"/>
                <w:u w:val="none"/>
              </w:rPr>
            </w:pPr>
          </w:p>
        </w:tc>
      </w:tr>
      <w:tr w14:paraId="2201C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BD20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234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94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眼科</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1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87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2E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4E8E">
            <w:pPr>
              <w:jc w:val="center"/>
              <w:rPr>
                <w:rFonts w:hint="eastAsia" w:ascii="等线" w:hAnsi="等线" w:eastAsia="等线" w:cs="等线"/>
                <w:i w:val="0"/>
                <w:iCs w:val="0"/>
                <w:color w:val="auto"/>
                <w:sz w:val="22"/>
                <w:szCs w:val="22"/>
                <w:highlight w:val="none"/>
                <w:u w:val="none"/>
              </w:rPr>
            </w:pPr>
          </w:p>
        </w:tc>
      </w:tr>
      <w:tr w14:paraId="4737A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54B8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BA8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99E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耳鼻喉</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ABC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E1B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D8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9515">
            <w:pPr>
              <w:jc w:val="center"/>
              <w:rPr>
                <w:rFonts w:hint="eastAsia" w:ascii="等线" w:hAnsi="等线" w:eastAsia="等线" w:cs="等线"/>
                <w:i w:val="0"/>
                <w:iCs w:val="0"/>
                <w:color w:val="auto"/>
                <w:sz w:val="22"/>
                <w:szCs w:val="22"/>
                <w:highlight w:val="none"/>
                <w:u w:val="none"/>
              </w:rPr>
            </w:pPr>
          </w:p>
        </w:tc>
      </w:tr>
      <w:tr w14:paraId="1BAD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5308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338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A9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妇科</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B4D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2D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C0F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EE78C">
            <w:pPr>
              <w:jc w:val="center"/>
              <w:rPr>
                <w:rFonts w:hint="eastAsia" w:ascii="等线" w:hAnsi="等线" w:eastAsia="等线" w:cs="等线"/>
                <w:i w:val="0"/>
                <w:iCs w:val="0"/>
                <w:color w:val="auto"/>
                <w:sz w:val="22"/>
                <w:szCs w:val="22"/>
                <w:highlight w:val="none"/>
                <w:u w:val="none"/>
              </w:rPr>
            </w:pPr>
          </w:p>
        </w:tc>
      </w:tr>
      <w:tr w14:paraId="4E92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9573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720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75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心电</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D8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F7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74F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0F02">
            <w:pPr>
              <w:jc w:val="center"/>
              <w:rPr>
                <w:rFonts w:hint="eastAsia" w:ascii="等线" w:hAnsi="等线" w:eastAsia="等线" w:cs="等线"/>
                <w:i w:val="0"/>
                <w:iCs w:val="0"/>
                <w:color w:val="auto"/>
                <w:sz w:val="22"/>
                <w:szCs w:val="22"/>
                <w:highlight w:val="none"/>
                <w:u w:val="none"/>
              </w:rPr>
            </w:pPr>
          </w:p>
        </w:tc>
      </w:tr>
      <w:tr w14:paraId="247F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3FE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4A4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B5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脑电图</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93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BA9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16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4512">
            <w:pPr>
              <w:jc w:val="center"/>
              <w:rPr>
                <w:rFonts w:hint="eastAsia" w:ascii="等线" w:hAnsi="等线" w:eastAsia="等线" w:cs="等线"/>
                <w:i w:val="0"/>
                <w:iCs w:val="0"/>
                <w:color w:val="auto"/>
                <w:sz w:val="22"/>
                <w:szCs w:val="22"/>
                <w:highlight w:val="none"/>
                <w:u w:val="none"/>
              </w:rPr>
            </w:pPr>
          </w:p>
        </w:tc>
      </w:tr>
      <w:tr w14:paraId="713C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7CA7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903A">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00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B超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D948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29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86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0BF5">
            <w:pPr>
              <w:jc w:val="center"/>
              <w:rPr>
                <w:rFonts w:hint="eastAsia" w:ascii="等线" w:hAnsi="等线" w:eastAsia="等线" w:cs="等线"/>
                <w:i w:val="0"/>
                <w:iCs w:val="0"/>
                <w:color w:val="auto"/>
                <w:sz w:val="22"/>
                <w:szCs w:val="22"/>
                <w:highlight w:val="none"/>
                <w:u w:val="none"/>
              </w:rPr>
            </w:pPr>
          </w:p>
        </w:tc>
      </w:tr>
      <w:tr w14:paraId="17BAE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81C6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BED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3B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彩超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2B0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A18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F80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0A0A">
            <w:pPr>
              <w:jc w:val="center"/>
              <w:rPr>
                <w:rFonts w:hint="eastAsia" w:ascii="等线" w:hAnsi="等线" w:eastAsia="等线" w:cs="等线"/>
                <w:i w:val="0"/>
                <w:iCs w:val="0"/>
                <w:color w:val="auto"/>
                <w:sz w:val="22"/>
                <w:szCs w:val="22"/>
                <w:highlight w:val="none"/>
                <w:u w:val="none"/>
              </w:rPr>
            </w:pPr>
          </w:p>
        </w:tc>
      </w:tr>
      <w:tr w14:paraId="638D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6DDE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287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00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VIP接待室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C3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030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8D8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C29B">
            <w:pPr>
              <w:jc w:val="center"/>
              <w:rPr>
                <w:rFonts w:hint="eastAsia" w:ascii="等线" w:hAnsi="等线" w:eastAsia="等线" w:cs="等线"/>
                <w:i w:val="0"/>
                <w:iCs w:val="0"/>
                <w:color w:val="auto"/>
                <w:sz w:val="22"/>
                <w:szCs w:val="22"/>
                <w:highlight w:val="none"/>
                <w:u w:val="none"/>
              </w:rPr>
            </w:pPr>
          </w:p>
        </w:tc>
      </w:tr>
      <w:tr w14:paraId="09B5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08E8A">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0FD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康复理疗科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AB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登记护士站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EE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DFA2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4D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05A7">
            <w:pPr>
              <w:jc w:val="center"/>
              <w:rPr>
                <w:rFonts w:hint="eastAsia" w:ascii="等线" w:hAnsi="等线" w:eastAsia="等线" w:cs="等线"/>
                <w:i w:val="0"/>
                <w:iCs w:val="0"/>
                <w:color w:val="auto"/>
                <w:sz w:val="22"/>
                <w:szCs w:val="22"/>
                <w:highlight w:val="none"/>
                <w:u w:val="none"/>
              </w:rPr>
            </w:pPr>
          </w:p>
        </w:tc>
      </w:tr>
      <w:tr w14:paraId="4B9A2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A8DC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652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EA8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E4E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7A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3A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98DC6">
            <w:pPr>
              <w:jc w:val="center"/>
              <w:rPr>
                <w:rFonts w:hint="eastAsia" w:ascii="等线" w:hAnsi="等线" w:eastAsia="等线" w:cs="等线"/>
                <w:i w:val="0"/>
                <w:iCs w:val="0"/>
                <w:color w:val="auto"/>
                <w:sz w:val="22"/>
                <w:szCs w:val="22"/>
                <w:highlight w:val="none"/>
                <w:u w:val="none"/>
              </w:rPr>
            </w:pPr>
          </w:p>
        </w:tc>
      </w:tr>
      <w:tr w14:paraId="18A67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27FF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51C7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420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康复训练</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E97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549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E9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3B9F2">
            <w:pPr>
              <w:jc w:val="center"/>
              <w:rPr>
                <w:rFonts w:hint="eastAsia" w:ascii="等线" w:hAnsi="等线" w:eastAsia="等线" w:cs="等线"/>
                <w:i w:val="0"/>
                <w:iCs w:val="0"/>
                <w:color w:val="auto"/>
                <w:sz w:val="22"/>
                <w:szCs w:val="22"/>
                <w:highlight w:val="none"/>
                <w:u w:val="none"/>
              </w:rPr>
            </w:pPr>
          </w:p>
        </w:tc>
      </w:tr>
      <w:tr w14:paraId="79888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D318A">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E46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8E7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医护餐厅</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00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64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2A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DCD8">
            <w:pPr>
              <w:jc w:val="center"/>
              <w:rPr>
                <w:rFonts w:hint="eastAsia" w:ascii="等线" w:hAnsi="等线" w:eastAsia="等线" w:cs="等线"/>
                <w:i w:val="0"/>
                <w:iCs w:val="0"/>
                <w:color w:val="auto"/>
                <w:sz w:val="22"/>
                <w:szCs w:val="22"/>
                <w:highlight w:val="none"/>
                <w:u w:val="none"/>
              </w:rPr>
            </w:pPr>
          </w:p>
        </w:tc>
      </w:tr>
      <w:tr w14:paraId="54ED2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490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FE8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BC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体疗室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44F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0E9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7D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C276">
            <w:pPr>
              <w:jc w:val="center"/>
              <w:rPr>
                <w:rFonts w:hint="eastAsia" w:ascii="等线" w:hAnsi="等线" w:eastAsia="等线" w:cs="等线"/>
                <w:i w:val="0"/>
                <w:iCs w:val="0"/>
                <w:color w:val="auto"/>
                <w:sz w:val="22"/>
                <w:szCs w:val="22"/>
                <w:highlight w:val="none"/>
                <w:u w:val="none"/>
              </w:rPr>
            </w:pPr>
          </w:p>
        </w:tc>
      </w:tr>
      <w:tr w14:paraId="049DC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94FE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C55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8A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蜡疗室（2间）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782F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B6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22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4D69">
            <w:pPr>
              <w:jc w:val="center"/>
              <w:rPr>
                <w:rFonts w:hint="eastAsia" w:ascii="等线" w:hAnsi="等线" w:eastAsia="等线" w:cs="等线"/>
                <w:i w:val="0"/>
                <w:iCs w:val="0"/>
                <w:color w:val="auto"/>
                <w:sz w:val="22"/>
                <w:szCs w:val="22"/>
                <w:highlight w:val="none"/>
                <w:u w:val="none"/>
              </w:rPr>
            </w:pPr>
          </w:p>
        </w:tc>
      </w:tr>
      <w:tr w14:paraId="6C1A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B36E6">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774B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A3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牵引治疗室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8C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83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46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C766">
            <w:pPr>
              <w:jc w:val="center"/>
              <w:rPr>
                <w:rFonts w:hint="eastAsia" w:ascii="等线" w:hAnsi="等线" w:eastAsia="等线" w:cs="等线"/>
                <w:i w:val="0"/>
                <w:iCs w:val="0"/>
                <w:color w:val="auto"/>
                <w:sz w:val="22"/>
                <w:szCs w:val="22"/>
                <w:highlight w:val="none"/>
                <w:u w:val="none"/>
              </w:rPr>
            </w:pPr>
          </w:p>
        </w:tc>
      </w:tr>
      <w:tr w14:paraId="4725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1329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2168">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14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高中低频治疗室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7A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EB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64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2F92">
            <w:pPr>
              <w:jc w:val="center"/>
              <w:rPr>
                <w:rFonts w:hint="eastAsia" w:ascii="等线" w:hAnsi="等线" w:eastAsia="等线" w:cs="等线"/>
                <w:i w:val="0"/>
                <w:iCs w:val="0"/>
                <w:color w:val="auto"/>
                <w:sz w:val="22"/>
                <w:szCs w:val="22"/>
                <w:highlight w:val="none"/>
                <w:u w:val="none"/>
              </w:rPr>
            </w:pPr>
          </w:p>
        </w:tc>
      </w:tr>
      <w:tr w14:paraId="60C67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023B9">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2B259">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1D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理疗</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989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0A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B4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CFDC">
            <w:pPr>
              <w:jc w:val="center"/>
              <w:rPr>
                <w:rFonts w:hint="eastAsia" w:ascii="等线" w:hAnsi="等线" w:eastAsia="等线" w:cs="等线"/>
                <w:i w:val="0"/>
                <w:iCs w:val="0"/>
                <w:color w:val="auto"/>
                <w:sz w:val="22"/>
                <w:szCs w:val="22"/>
                <w:highlight w:val="none"/>
                <w:u w:val="none"/>
              </w:rPr>
            </w:pPr>
          </w:p>
        </w:tc>
      </w:tr>
      <w:tr w14:paraId="1F80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25E4AE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70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中心药房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6E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07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81A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58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r>
      <w:tr w14:paraId="4AAE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FF1FCD0">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58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76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A4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C9A5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77CC">
            <w:pPr>
              <w:jc w:val="center"/>
              <w:rPr>
                <w:rFonts w:hint="eastAsia" w:ascii="等线" w:hAnsi="等线" w:eastAsia="等线" w:cs="等线"/>
                <w:i w:val="0"/>
                <w:iCs w:val="0"/>
                <w:color w:val="auto"/>
                <w:sz w:val="22"/>
                <w:szCs w:val="22"/>
                <w:highlight w:val="none"/>
                <w:u w:val="none"/>
              </w:rPr>
            </w:pPr>
          </w:p>
        </w:tc>
      </w:tr>
      <w:tr w14:paraId="0899D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613F18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4F弱电间</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9E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NICU</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ED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A6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8C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482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B2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22</w:t>
            </w:r>
          </w:p>
        </w:tc>
      </w:tr>
      <w:tr w14:paraId="632F9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8B3E56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3210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4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抢救室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B8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AC1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9F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38D5">
            <w:pPr>
              <w:jc w:val="center"/>
              <w:rPr>
                <w:rFonts w:hint="eastAsia" w:ascii="等线" w:hAnsi="等线" w:eastAsia="等线" w:cs="等线"/>
                <w:i w:val="0"/>
                <w:iCs w:val="0"/>
                <w:color w:val="auto"/>
                <w:sz w:val="22"/>
                <w:szCs w:val="22"/>
                <w:highlight w:val="none"/>
                <w:u w:val="none"/>
              </w:rPr>
            </w:pPr>
          </w:p>
        </w:tc>
      </w:tr>
      <w:tr w14:paraId="447C1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47808F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178C">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D4E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配药、处置室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86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2B0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F0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4988">
            <w:pPr>
              <w:jc w:val="center"/>
              <w:rPr>
                <w:rFonts w:hint="eastAsia" w:ascii="等线" w:hAnsi="等线" w:eastAsia="等线" w:cs="等线"/>
                <w:i w:val="0"/>
                <w:iCs w:val="0"/>
                <w:color w:val="auto"/>
                <w:sz w:val="22"/>
                <w:szCs w:val="22"/>
                <w:highlight w:val="none"/>
                <w:u w:val="none"/>
              </w:rPr>
            </w:pPr>
          </w:p>
        </w:tc>
      </w:tr>
      <w:tr w14:paraId="2D333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1073C1F">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96D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09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9A3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3B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70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449E">
            <w:pPr>
              <w:jc w:val="center"/>
              <w:rPr>
                <w:rFonts w:hint="eastAsia" w:ascii="等线" w:hAnsi="等线" w:eastAsia="等线" w:cs="等线"/>
                <w:i w:val="0"/>
                <w:iCs w:val="0"/>
                <w:color w:val="auto"/>
                <w:sz w:val="22"/>
                <w:szCs w:val="22"/>
                <w:highlight w:val="none"/>
                <w:u w:val="none"/>
              </w:rPr>
            </w:pPr>
          </w:p>
        </w:tc>
      </w:tr>
      <w:tr w14:paraId="296C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C4029FC">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D67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9C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79C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D8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5F6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E8DA">
            <w:pPr>
              <w:jc w:val="center"/>
              <w:rPr>
                <w:rFonts w:hint="eastAsia" w:ascii="等线" w:hAnsi="等线" w:eastAsia="等线" w:cs="等线"/>
                <w:i w:val="0"/>
                <w:iCs w:val="0"/>
                <w:color w:val="auto"/>
                <w:sz w:val="22"/>
                <w:szCs w:val="22"/>
                <w:highlight w:val="none"/>
                <w:u w:val="none"/>
              </w:rPr>
            </w:pPr>
          </w:p>
        </w:tc>
      </w:tr>
      <w:tr w14:paraId="51BE2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7BF2A63">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5AAD">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EA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DD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62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87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D71B">
            <w:pPr>
              <w:jc w:val="center"/>
              <w:rPr>
                <w:rFonts w:hint="eastAsia" w:ascii="等线" w:hAnsi="等线" w:eastAsia="等线" w:cs="等线"/>
                <w:i w:val="0"/>
                <w:iCs w:val="0"/>
                <w:color w:val="auto"/>
                <w:sz w:val="22"/>
                <w:szCs w:val="22"/>
                <w:highlight w:val="none"/>
                <w:u w:val="none"/>
              </w:rPr>
            </w:pPr>
          </w:p>
        </w:tc>
      </w:tr>
      <w:tr w14:paraId="3E2C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8B0BB52">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B6B4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58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隔离婴儿室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28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60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037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1D31">
            <w:pPr>
              <w:jc w:val="center"/>
              <w:rPr>
                <w:rFonts w:hint="eastAsia" w:ascii="等线" w:hAnsi="等线" w:eastAsia="等线" w:cs="等线"/>
                <w:i w:val="0"/>
                <w:iCs w:val="0"/>
                <w:color w:val="auto"/>
                <w:sz w:val="22"/>
                <w:szCs w:val="22"/>
                <w:highlight w:val="none"/>
                <w:u w:val="none"/>
              </w:rPr>
            </w:pPr>
          </w:p>
        </w:tc>
      </w:tr>
      <w:tr w14:paraId="2E476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6C4DC9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0D0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9B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B6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1F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20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FDE5">
            <w:pPr>
              <w:jc w:val="center"/>
              <w:rPr>
                <w:rFonts w:hint="eastAsia" w:ascii="等线" w:hAnsi="等线" w:eastAsia="等线" w:cs="等线"/>
                <w:i w:val="0"/>
                <w:iCs w:val="0"/>
                <w:color w:val="auto"/>
                <w:sz w:val="22"/>
                <w:szCs w:val="22"/>
                <w:highlight w:val="none"/>
                <w:u w:val="none"/>
              </w:rPr>
            </w:pPr>
          </w:p>
        </w:tc>
      </w:tr>
      <w:tr w14:paraId="426B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582B82B">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D072">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D2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治疗区</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C7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A668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4CE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EF11">
            <w:pPr>
              <w:jc w:val="center"/>
              <w:rPr>
                <w:rFonts w:hint="eastAsia" w:ascii="等线" w:hAnsi="等线" w:eastAsia="等线" w:cs="等线"/>
                <w:i w:val="0"/>
                <w:iCs w:val="0"/>
                <w:color w:val="auto"/>
                <w:sz w:val="22"/>
                <w:szCs w:val="22"/>
                <w:highlight w:val="none"/>
                <w:u w:val="none"/>
              </w:rPr>
            </w:pPr>
          </w:p>
        </w:tc>
      </w:tr>
      <w:tr w14:paraId="4593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484708D">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4BC1">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44A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E48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D7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9E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82F5">
            <w:pPr>
              <w:jc w:val="center"/>
              <w:rPr>
                <w:rFonts w:hint="eastAsia" w:ascii="等线" w:hAnsi="等线" w:eastAsia="等线" w:cs="等线"/>
                <w:i w:val="0"/>
                <w:iCs w:val="0"/>
                <w:color w:val="auto"/>
                <w:sz w:val="22"/>
                <w:szCs w:val="22"/>
                <w:highlight w:val="none"/>
                <w:u w:val="none"/>
              </w:rPr>
            </w:pPr>
          </w:p>
        </w:tc>
      </w:tr>
      <w:tr w14:paraId="0F10E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C7CF13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B13F">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60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3D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01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44F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D55B">
            <w:pPr>
              <w:jc w:val="center"/>
              <w:rPr>
                <w:rFonts w:hint="eastAsia" w:ascii="等线" w:hAnsi="等线" w:eastAsia="等线" w:cs="等线"/>
                <w:i w:val="0"/>
                <w:iCs w:val="0"/>
                <w:color w:val="auto"/>
                <w:sz w:val="22"/>
                <w:szCs w:val="22"/>
                <w:highlight w:val="none"/>
                <w:u w:val="none"/>
              </w:rPr>
            </w:pPr>
          </w:p>
        </w:tc>
      </w:tr>
      <w:tr w14:paraId="5CCD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65D8ABA">
            <w:pPr>
              <w:jc w:val="center"/>
              <w:rPr>
                <w:rFonts w:hint="eastAsia" w:ascii="等线" w:hAnsi="等线" w:eastAsia="等线" w:cs="等线"/>
                <w:i w:val="0"/>
                <w:iCs w:val="0"/>
                <w:color w:val="auto"/>
                <w:sz w:val="22"/>
                <w:szCs w:val="22"/>
                <w:highlight w:val="none"/>
                <w:u w:val="none"/>
              </w:rPr>
            </w:pPr>
          </w:p>
        </w:tc>
        <w:tc>
          <w:tcPr>
            <w:tcW w:w="1175" w:type="dxa"/>
            <w:vMerge w:val="restart"/>
            <w:tcBorders>
              <w:top w:val="single" w:color="000000" w:sz="4" w:space="0"/>
              <w:left w:val="single" w:color="000000" w:sz="4" w:space="0"/>
              <w:bottom w:val="nil"/>
              <w:right w:val="single" w:color="000000" w:sz="4" w:space="0"/>
            </w:tcBorders>
            <w:shd w:val="clear" w:color="auto" w:fill="auto"/>
            <w:noWrap/>
            <w:vAlign w:val="center"/>
          </w:tcPr>
          <w:p w14:paraId="2FE644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妇产科</w:t>
            </w: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8E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隔离产房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9B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F6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A5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27DF">
            <w:pPr>
              <w:jc w:val="center"/>
              <w:rPr>
                <w:rFonts w:hint="eastAsia" w:ascii="等线" w:hAnsi="等线" w:eastAsia="等线" w:cs="等线"/>
                <w:i w:val="0"/>
                <w:iCs w:val="0"/>
                <w:color w:val="auto"/>
                <w:sz w:val="22"/>
                <w:szCs w:val="22"/>
                <w:highlight w:val="none"/>
                <w:u w:val="none"/>
              </w:rPr>
            </w:pPr>
          </w:p>
        </w:tc>
      </w:tr>
      <w:tr w14:paraId="5D462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3821EA4">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C436304">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68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产房（2间）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37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90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F5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99142">
            <w:pPr>
              <w:jc w:val="center"/>
              <w:rPr>
                <w:rFonts w:hint="eastAsia" w:ascii="等线" w:hAnsi="等线" w:eastAsia="等线" w:cs="等线"/>
                <w:i w:val="0"/>
                <w:iCs w:val="0"/>
                <w:color w:val="auto"/>
                <w:sz w:val="22"/>
                <w:szCs w:val="22"/>
                <w:highlight w:val="none"/>
                <w:u w:val="none"/>
              </w:rPr>
            </w:pPr>
          </w:p>
        </w:tc>
      </w:tr>
      <w:tr w14:paraId="49E8E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B2DA8CF">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1BB003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73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产前检查</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F4E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D62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B65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40C5">
            <w:pPr>
              <w:jc w:val="center"/>
              <w:rPr>
                <w:rFonts w:hint="eastAsia" w:ascii="等线" w:hAnsi="等线" w:eastAsia="等线" w:cs="等线"/>
                <w:i w:val="0"/>
                <w:iCs w:val="0"/>
                <w:color w:val="auto"/>
                <w:sz w:val="22"/>
                <w:szCs w:val="22"/>
                <w:highlight w:val="none"/>
                <w:u w:val="none"/>
              </w:rPr>
            </w:pPr>
          </w:p>
        </w:tc>
      </w:tr>
      <w:tr w14:paraId="4FA35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D4D827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78E201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3C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04E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90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BE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8C1E">
            <w:pPr>
              <w:jc w:val="center"/>
              <w:rPr>
                <w:rFonts w:hint="eastAsia" w:ascii="等线" w:hAnsi="等线" w:eastAsia="等线" w:cs="等线"/>
                <w:i w:val="0"/>
                <w:iCs w:val="0"/>
                <w:color w:val="auto"/>
                <w:sz w:val="22"/>
                <w:szCs w:val="22"/>
                <w:highlight w:val="none"/>
                <w:u w:val="none"/>
              </w:rPr>
            </w:pPr>
          </w:p>
        </w:tc>
      </w:tr>
      <w:tr w14:paraId="0EE0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C0A4071">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69F3EC6">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DB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1F1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99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518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E5BA">
            <w:pPr>
              <w:jc w:val="center"/>
              <w:rPr>
                <w:rFonts w:hint="eastAsia" w:ascii="等线" w:hAnsi="等线" w:eastAsia="等线" w:cs="等线"/>
                <w:i w:val="0"/>
                <w:iCs w:val="0"/>
                <w:color w:val="auto"/>
                <w:sz w:val="22"/>
                <w:szCs w:val="22"/>
                <w:highlight w:val="none"/>
                <w:u w:val="none"/>
              </w:rPr>
            </w:pPr>
          </w:p>
        </w:tc>
      </w:tr>
      <w:tr w14:paraId="0F989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9AEB9C6">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74D809E">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B49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17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30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FE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AFE4">
            <w:pPr>
              <w:jc w:val="center"/>
              <w:rPr>
                <w:rFonts w:hint="eastAsia" w:ascii="等线" w:hAnsi="等线" w:eastAsia="等线" w:cs="等线"/>
                <w:i w:val="0"/>
                <w:iCs w:val="0"/>
                <w:color w:val="auto"/>
                <w:sz w:val="22"/>
                <w:szCs w:val="22"/>
                <w:highlight w:val="none"/>
                <w:u w:val="none"/>
              </w:rPr>
            </w:pPr>
          </w:p>
        </w:tc>
      </w:tr>
      <w:tr w14:paraId="1475D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B2F0B98">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EBA9327">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D5B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2CB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6E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24C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7EEF1">
            <w:pPr>
              <w:jc w:val="center"/>
              <w:rPr>
                <w:rFonts w:hint="eastAsia" w:ascii="等线" w:hAnsi="等线" w:eastAsia="等线" w:cs="等线"/>
                <w:i w:val="0"/>
                <w:iCs w:val="0"/>
                <w:color w:val="auto"/>
                <w:sz w:val="22"/>
                <w:szCs w:val="22"/>
                <w:highlight w:val="none"/>
                <w:u w:val="none"/>
              </w:rPr>
            </w:pPr>
          </w:p>
        </w:tc>
      </w:tr>
      <w:tr w14:paraId="2565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DF16B15">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63E2FBB">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4D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3人病房（3间）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05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A93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81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66CF">
            <w:pPr>
              <w:jc w:val="center"/>
              <w:rPr>
                <w:rFonts w:hint="eastAsia" w:ascii="等线" w:hAnsi="等线" w:eastAsia="等线" w:cs="等线"/>
                <w:i w:val="0"/>
                <w:iCs w:val="0"/>
                <w:color w:val="auto"/>
                <w:sz w:val="22"/>
                <w:szCs w:val="22"/>
                <w:highlight w:val="none"/>
                <w:u w:val="none"/>
              </w:rPr>
            </w:pPr>
          </w:p>
        </w:tc>
      </w:tr>
      <w:tr w14:paraId="11A7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43477C67">
            <w:pPr>
              <w:jc w:val="center"/>
              <w:rPr>
                <w:rFonts w:hint="eastAsia" w:ascii="等线" w:hAnsi="等线" w:eastAsia="等线" w:cs="等线"/>
                <w:i w:val="0"/>
                <w:iCs w:val="0"/>
                <w:color w:val="auto"/>
                <w:sz w:val="22"/>
                <w:szCs w:val="22"/>
                <w:highlight w:val="none"/>
                <w:u w:val="none"/>
              </w:rPr>
            </w:pPr>
          </w:p>
        </w:tc>
        <w:tc>
          <w:tcPr>
            <w:tcW w:w="117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33981D5">
            <w:pPr>
              <w:jc w:val="center"/>
              <w:rPr>
                <w:rFonts w:hint="eastAsia" w:ascii="等线" w:hAnsi="等线" w:eastAsia="等线" w:cs="等线"/>
                <w:i w:val="0"/>
                <w:iCs w:val="0"/>
                <w:color w:val="auto"/>
                <w:sz w:val="22"/>
                <w:szCs w:val="22"/>
                <w:highlight w:val="none"/>
                <w:u w:val="none"/>
              </w:rPr>
            </w:pPr>
          </w:p>
        </w:tc>
        <w:tc>
          <w:tcPr>
            <w:tcW w:w="2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FE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DC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AF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50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AD60">
            <w:pPr>
              <w:jc w:val="center"/>
              <w:rPr>
                <w:rFonts w:hint="eastAsia" w:ascii="等线" w:hAnsi="等线" w:eastAsia="等线" w:cs="等线"/>
                <w:i w:val="0"/>
                <w:iCs w:val="0"/>
                <w:color w:val="auto"/>
                <w:sz w:val="22"/>
                <w:szCs w:val="22"/>
                <w:highlight w:val="none"/>
                <w:u w:val="none"/>
              </w:rPr>
            </w:pPr>
          </w:p>
        </w:tc>
      </w:tr>
      <w:tr w14:paraId="4EC3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nil"/>
              <w:right w:val="single" w:color="000000" w:sz="4" w:space="0"/>
            </w:tcBorders>
            <w:shd w:val="clear" w:color="auto" w:fill="auto"/>
            <w:vAlign w:val="center"/>
          </w:tcPr>
          <w:p w14:paraId="67FA55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5F弱电间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CB91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值班室（3间）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47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75E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8D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45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r>
      <w:tr w14:paraId="544EB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8A4A3D5">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61D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ED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8AA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7F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16B2">
            <w:pPr>
              <w:jc w:val="center"/>
              <w:rPr>
                <w:rFonts w:hint="eastAsia" w:ascii="等线" w:hAnsi="等线" w:eastAsia="等线" w:cs="等线"/>
                <w:i w:val="0"/>
                <w:iCs w:val="0"/>
                <w:color w:val="auto"/>
                <w:sz w:val="22"/>
                <w:szCs w:val="22"/>
                <w:highlight w:val="none"/>
                <w:u w:val="none"/>
              </w:rPr>
            </w:pPr>
          </w:p>
        </w:tc>
      </w:tr>
      <w:tr w14:paraId="4313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227ABFF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144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08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5E3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19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6CAA1">
            <w:pPr>
              <w:jc w:val="center"/>
              <w:rPr>
                <w:rFonts w:hint="eastAsia" w:ascii="等线" w:hAnsi="等线" w:eastAsia="等线" w:cs="等线"/>
                <w:i w:val="0"/>
                <w:iCs w:val="0"/>
                <w:color w:val="auto"/>
                <w:sz w:val="22"/>
                <w:szCs w:val="22"/>
                <w:highlight w:val="none"/>
                <w:u w:val="none"/>
              </w:rPr>
            </w:pPr>
          </w:p>
        </w:tc>
      </w:tr>
      <w:tr w14:paraId="35DE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1B921350">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B0F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B0B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F2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6FB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EFDC">
            <w:pPr>
              <w:jc w:val="center"/>
              <w:rPr>
                <w:rFonts w:hint="eastAsia" w:ascii="等线" w:hAnsi="等线" w:eastAsia="等线" w:cs="等线"/>
                <w:i w:val="0"/>
                <w:iCs w:val="0"/>
                <w:color w:val="auto"/>
                <w:sz w:val="22"/>
                <w:szCs w:val="22"/>
                <w:highlight w:val="none"/>
                <w:u w:val="none"/>
              </w:rPr>
            </w:pPr>
          </w:p>
        </w:tc>
      </w:tr>
      <w:tr w14:paraId="2F57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BB663E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5EB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96B3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F6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60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7462E">
            <w:pPr>
              <w:jc w:val="center"/>
              <w:rPr>
                <w:rFonts w:hint="eastAsia" w:ascii="等线" w:hAnsi="等线" w:eastAsia="等线" w:cs="等线"/>
                <w:i w:val="0"/>
                <w:iCs w:val="0"/>
                <w:color w:val="auto"/>
                <w:sz w:val="22"/>
                <w:szCs w:val="22"/>
                <w:highlight w:val="none"/>
                <w:u w:val="none"/>
              </w:rPr>
            </w:pPr>
          </w:p>
        </w:tc>
      </w:tr>
      <w:tr w14:paraId="5320F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F97303C">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24D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321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87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51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EAECE">
            <w:pPr>
              <w:jc w:val="center"/>
              <w:rPr>
                <w:rFonts w:hint="eastAsia" w:ascii="等线" w:hAnsi="等线" w:eastAsia="等线" w:cs="等线"/>
                <w:i w:val="0"/>
                <w:iCs w:val="0"/>
                <w:color w:val="auto"/>
                <w:sz w:val="22"/>
                <w:szCs w:val="22"/>
                <w:highlight w:val="none"/>
                <w:u w:val="none"/>
              </w:rPr>
            </w:pPr>
          </w:p>
        </w:tc>
      </w:tr>
      <w:tr w14:paraId="26C77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85E6DE2">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265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4B4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CF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8A5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EC0B">
            <w:pPr>
              <w:jc w:val="center"/>
              <w:rPr>
                <w:rFonts w:hint="eastAsia" w:ascii="等线" w:hAnsi="等线" w:eastAsia="等线" w:cs="等线"/>
                <w:i w:val="0"/>
                <w:iCs w:val="0"/>
                <w:color w:val="auto"/>
                <w:sz w:val="22"/>
                <w:szCs w:val="22"/>
                <w:highlight w:val="none"/>
                <w:u w:val="none"/>
              </w:rPr>
            </w:pPr>
          </w:p>
        </w:tc>
      </w:tr>
      <w:tr w14:paraId="0383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053D86D6">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5D0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80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A1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6B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A7139">
            <w:pPr>
              <w:jc w:val="center"/>
              <w:rPr>
                <w:rFonts w:hint="eastAsia" w:ascii="等线" w:hAnsi="等线" w:eastAsia="等线" w:cs="等线"/>
                <w:i w:val="0"/>
                <w:iCs w:val="0"/>
                <w:color w:val="auto"/>
                <w:sz w:val="22"/>
                <w:szCs w:val="22"/>
                <w:highlight w:val="none"/>
                <w:u w:val="none"/>
              </w:rPr>
            </w:pPr>
          </w:p>
        </w:tc>
      </w:tr>
      <w:tr w14:paraId="0C9B6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7C457A11">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46E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C8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7A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D8B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B75C">
            <w:pPr>
              <w:jc w:val="center"/>
              <w:rPr>
                <w:rFonts w:hint="eastAsia" w:ascii="等线" w:hAnsi="等线" w:eastAsia="等线" w:cs="等线"/>
                <w:i w:val="0"/>
                <w:iCs w:val="0"/>
                <w:color w:val="auto"/>
                <w:sz w:val="22"/>
                <w:szCs w:val="22"/>
                <w:highlight w:val="none"/>
                <w:u w:val="none"/>
              </w:rPr>
            </w:pPr>
          </w:p>
        </w:tc>
      </w:tr>
      <w:tr w14:paraId="543CC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3820BF88">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292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3E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7A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8B83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7DCC">
            <w:pPr>
              <w:jc w:val="center"/>
              <w:rPr>
                <w:rFonts w:hint="eastAsia" w:ascii="等线" w:hAnsi="等线" w:eastAsia="等线" w:cs="等线"/>
                <w:i w:val="0"/>
                <w:iCs w:val="0"/>
                <w:color w:val="auto"/>
                <w:sz w:val="22"/>
                <w:szCs w:val="22"/>
                <w:highlight w:val="none"/>
                <w:u w:val="none"/>
              </w:rPr>
            </w:pPr>
          </w:p>
        </w:tc>
      </w:tr>
      <w:tr w14:paraId="7DF1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577D7B3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106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3人病房（14间）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0A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620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80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DEBF">
            <w:pPr>
              <w:jc w:val="center"/>
              <w:rPr>
                <w:rFonts w:hint="eastAsia" w:ascii="等线" w:hAnsi="等线" w:eastAsia="等线" w:cs="等线"/>
                <w:i w:val="0"/>
                <w:iCs w:val="0"/>
                <w:color w:val="auto"/>
                <w:sz w:val="22"/>
                <w:szCs w:val="22"/>
                <w:highlight w:val="none"/>
                <w:u w:val="none"/>
              </w:rPr>
            </w:pPr>
          </w:p>
        </w:tc>
      </w:tr>
      <w:tr w14:paraId="203E1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nil"/>
              <w:right w:val="single" w:color="000000" w:sz="4" w:space="0"/>
            </w:tcBorders>
            <w:shd w:val="clear" w:color="auto" w:fill="auto"/>
            <w:vAlign w:val="center"/>
          </w:tcPr>
          <w:p w14:paraId="6CB2A7F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838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无障碍病房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E63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65B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213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D946">
            <w:pPr>
              <w:jc w:val="center"/>
              <w:rPr>
                <w:rFonts w:hint="eastAsia" w:ascii="等线" w:hAnsi="等线" w:eastAsia="等线" w:cs="等线"/>
                <w:i w:val="0"/>
                <w:iCs w:val="0"/>
                <w:color w:val="auto"/>
                <w:sz w:val="22"/>
                <w:szCs w:val="22"/>
                <w:highlight w:val="none"/>
                <w:u w:val="none"/>
              </w:rPr>
            </w:pPr>
          </w:p>
        </w:tc>
      </w:tr>
      <w:tr w14:paraId="3C0E2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6FE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6F-12F弱电间</w:t>
            </w: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7D5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值班室（3间）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EC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55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A7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1D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22</w:t>
            </w:r>
          </w:p>
        </w:tc>
      </w:tr>
      <w:tr w14:paraId="3D56E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F06C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B24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CD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CF6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5A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62773">
            <w:pPr>
              <w:jc w:val="center"/>
              <w:rPr>
                <w:rFonts w:hint="eastAsia" w:ascii="等线" w:hAnsi="等线" w:eastAsia="等线" w:cs="等线"/>
                <w:i w:val="0"/>
                <w:iCs w:val="0"/>
                <w:color w:val="auto"/>
                <w:sz w:val="22"/>
                <w:szCs w:val="22"/>
                <w:highlight w:val="none"/>
                <w:u w:val="none"/>
              </w:rPr>
            </w:pPr>
          </w:p>
        </w:tc>
      </w:tr>
      <w:tr w14:paraId="3E1B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6FE26">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D903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EE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0C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D8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D1C0B">
            <w:pPr>
              <w:jc w:val="center"/>
              <w:rPr>
                <w:rFonts w:hint="eastAsia" w:ascii="等线" w:hAnsi="等线" w:eastAsia="等线" w:cs="等线"/>
                <w:i w:val="0"/>
                <w:iCs w:val="0"/>
                <w:color w:val="auto"/>
                <w:sz w:val="22"/>
                <w:szCs w:val="22"/>
                <w:highlight w:val="none"/>
                <w:u w:val="none"/>
              </w:rPr>
            </w:pPr>
          </w:p>
        </w:tc>
      </w:tr>
      <w:tr w14:paraId="4FE6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73B32">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230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19B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C9FF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A0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8498">
            <w:pPr>
              <w:jc w:val="center"/>
              <w:rPr>
                <w:rFonts w:hint="eastAsia" w:ascii="等线" w:hAnsi="等线" w:eastAsia="等线" w:cs="等线"/>
                <w:i w:val="0"/>
                <w:iCs w:val="0"/>
                <w:color w:val="auto"/>
                <w:sz w:val="22"/>
                <w:szCs w:val="22"/>
                <w:highlight w:val="none"/>
                <w:u w:val="none"/>
              </w:rPr>
            </w:pPr>
          </w:p>
        </w:tc>
      </w:tr>
      <w:tr w14:paraId="47133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21F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82E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9E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2D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19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C5A6">
            <w:pPr>
              <w:jc w:val="center"/>
              <w:rPr>
                <w:rFonts w:hint="eastAsia" w:ascii="等线" w:hAnsi="等线" w:eastAsia="等线" w:cs="等线"/>
                <w:i w:val="0"/>
                <w:iCs w:val="0"/>
                <w:color w:val="auto"/>
                <w:sz w:val="22"/>
                <w:szCs w:val="22"/>
                <w:highlight w:val="none"/>
                <w:u w:val="none"/>
              </w:rPr>
            </w:pPr>
          </w:p>
        </w:tc>
      </w:tr>
      <w:tr w14:paraId="73627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5C96E">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3F9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84C5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1E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37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83CB4">
            <w:pPr>
              <w:jc w:val="center"/>
              <w:rPr>
                <w:rFonts w:hint="eastAsia" w:ascii="等线" w:hAnsi="等线" w:eastAsia="等线" w:cs="等线"/>
                <w:i w:val="0"/>
                <w:iCs w:val="0"/>
                <w:color w:val="auto"/>
                <w:sz w:val="22"/>
                <w:szCs w:val="22"/>
                <w:highlight w:val="none"/>
                <w:u w:val="none"/>
              </w:rPr>
            </w:pPr>
          </w:p>
        </w:tc>
      </w:tr>
      <w:tr w14:paraId="5BD8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C5C32">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308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12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674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F5F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1070">
            <w:pPr>
              <w:jc w:val="center"/>
              <w:rPr>
                <w:rFonts w:hint="eastAsia" w:ascii="等线" w:hAnsi="等线" w:eastAsia="等线" w:cs="等线"/>
                <w:i w:val="0"/>
                <w:iCs w:val="0"/>
                <w:color w:val="auto"/>
                <w:sz w:val="22"/>
                <w:szCs w:val="22"/>
                <w:highlight w:val="none"/>
                <w:u w:val="none"/>
              </w:rPr>
            </w:pPr>
          </w:p>
        </w:tc>
      </w:tr>
      <w:tr w14:paraId="6DD3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4C767">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4D1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C3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EE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BA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9970">
            <w:pPr>
              <w:jc w:val="center"/>
              <w:rPr>
                <w:rFonts w:hint="eastAsia" w:ascii="等线" w:hAnsi="等线" w:eastAsia="等线" w:cs="等线"/>
                <w:i w:val="0"/>
                <w:iCs w:val="0"/>
                <w:color w:val="auto"/>
                <w:sz w:val="22"/>
                <w:szCs w:val="22"/>
                <w:highlight w:val="none"/>
                <w:u w:val="none"/>
              </w:rPr>
            </w:pPr>
          </w:p>
        </w:tc>
      </w:tr>
      <w:tr w14:paraId="1A50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3A0CB">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DD2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A08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EEF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40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3C94">
            <w:pPr>
              <w:jc w:val="center"/>
              <w:rPr>
                <w:rFonts w:hint="eastAsia" w:ascii="等线" w:hAnsi="等线" w:eastAsia="等线" w:cs="等线"/>
                <w:i w:val="0"/>
                <w:iCs w:val="0"/>
                <w:color w:val="auto"/>
                <w:sz w:val="22"/>
                <w:szCs w:val="22"/>
                <w:highlight w:val="none"/>
                <w:u w:val="none"/>
              </w:rPr>
            </w:pPr>
          </w:p>
        </w:tc>
      </w:tr>
      <w:tr w14:paraId="7CF78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1C3BF">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063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2人病房（2间）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CF5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5E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C2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1E96">
            <w:pPr>
              <w:jc w:val="center"/>
              <w:rPr>
                <w:rFonts w:hint="eastAsia" w:ascii="等线" w:hAnsi="等线" w:eastAsia="等线" w:cs="等线"/>
                <w:i w:val="0"/>
                <w:iCs w:val="0"/>
                <w:color w:val="auto"/>
                <w:sz w:val="22"/>
                <w:szCs w:val="22"/>
                <w:highlight w:val="none"/>
                <w:u w:val="none"/>
              </w:rPr>
            </w:pPr>
          </w:p>
        </w:tc>
      </w:tr>
      <w:tr w14:paraId="7BCA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B95D3">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03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3人病房（14间）</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74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F3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FA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E82F">
            <w:pPr>
              <w:jc w:val="center"/>
              <w:rPr>
                <w:rFonts w:hint="eastAsia" w:ascii="等线" w:hAnsi="等线" w:eastAsia="等线" w:cs="等线"/>
                <w:i w:val="0"/>
                <w:iCs w:val="0"/>
                <w:color w:val="auto"/>
                <w:sz w:val="22"/>
                <w:szCs w:val="22"/>
                <w:highlight w:val="none"/>
                <w:u w:val="none"/>
              </w:rPr>
            </w:pPr>
          </w:p>
        </w:tc>
      </w:tr>
      <w:tr w14:paraId="2C775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29989">
            <w:pPr>
              <w:jc w:val="center"/>
              <w:rPr>
                <w:rFonts w:hint="eastAsia" w:ascii="等线" w:hAnsi="等线" w:eastAsia="等线" w:cs="等线"/>
                <w:i w:val="0"/>
                <w:iCs w:val="0"/>
                <w:color w:val="auto"/>
                <w:sz w:val="22"/>
                <w:szCs w:val="22"/>
                <w:highlight w:val="none"/>
                <w:u w:val="none"/>
              </w:rPr>
            </w:pPr>
          </w:p>
        </w:tc>
        <w:tc>
          <w:tcPr>
            <w:tcW w:w="3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D2C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无障碍病房</w:t>
            </w:r>
          </w:p>
        </w:tc>
        <w:tc>
          <w:tcPr>
            <w:tcW w:w="1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EFB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58A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30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9450">
            <w:pPr>
              <w:jc w:val="center"/>
              <w:rPr>
                <w:rFonts w:hint="eastAsia" w:ascii="等线" w:hAnsi="等线" w:eastAsia="等线" w:cs="等线"/>
                <w:i w:val="0"/>
                <w:iCs w:val="0"/>
                <w:color w:val="auto"/>
                <w:sz w:val="22"/>
                <w:szCs w:val="22"/>
                <w:highlight w:val="none"/>
                <w:u w:val="none"/>
              </w:rPr>
            </w:pPr>
          </w:p>
        </w:tc>
      </w:tr>
    </w:tbl>
    <w:p w14:paraId="312F9ED2">
      <w:pPr>
        <w:ind w:firstLine="480" w:firstLineChars="200"/>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根据本次方案改造思路，改造后的网络信息点布点如下表所示：</w:t>
      </w:r>
    </w:p>
    <w:tbl>
      <w:tblPr>
        <w:tblStyle w:val="15"/>
        <w:tblW w:w="83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6"/>
        <w:gridCol w:w="894"/>
        <w:gridCol w:w="1595"/>
        <w:gridCol w:w="688"/>
        <w:gridCol w:w="679"/>
        <w:gridCol w:w="769"/>
        <w:gridCol w:w="916"/>
        <w:gridCol w:w="1707"/>
      </w:tblGrid>
      <w:tr w14:paraId="2162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C7598">
            <w:pPr>
              <w:keepNext w:val="0"/>
              <w:keepLines w:val="0"/>
              <w:widowControl/>
              <w:suppressLineNumbers w:val="0"/>
              <w:jc w:val="center"/>
              <w:textAlignment w:val="center"/>
              <w:rPr>
                <w:rFonts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楼层</w:t>
            </w:r>
          </w:p>
        </w:tc>
        <w:tc>
          <w:tcPr>
            <w:tcW w:w="894" w:type="dxa"/>
            <w:vMerge w:val="restart"/>
            <w:tcBorders>
              <w:top w:val="single" w:color="000000" w:sz="4" w:space="0"/>
              <w:left w:val="single" w:color="000000" w:sz="4" w:space="0"/>
              <w:bottom w:val="single" w:color="000000" w:sz="4" w:space="0"/>
              <w:right w:val="nil"/>
            </w:tcBorders>
            <w:shd w:val="clear" w:color="auto" w:fill="auto"/>
            <w:noWrap/>
            <w:vAlign w:val="center"/>
          </w:tcPr>
          <w:p w14:paraId="41D4F9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科室</w:t>
            </w:r>
          </w:p>
        </w:tc>
        <w:tc>
          <w:tcPr>
            <w:tcW w:w="1595" w:type="dxa"/>
            <w:vMerge w:val="restart"/>
            <w:tcBorders>
              <w:top w:val="single" w:color="000000" w:sz="4" w:space="0"/>
              <w:left w:val="single" w:color="000000" w:sz="4" w:space="0"/>
              <w:bottom w:val="single" w:color="000000" w:sz="4" w:space="0"/>
              <w:right w:val="nil"/>
            </w:tcBorders>
            <w:shd w:val="clear" w:color="auto" w:fill="auto"/>
            <w:vAlign w:val="center"/>
          </w:tcPr>
          <w:p w14:paraId="3AC689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房间名称</w:t>
            </w:r>
          </w:p>
        </w:tc>
        <w:tc>
          <w:tcPr>
            <w:tcW w:w="13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F9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内网</w:t>
            </w:r>
          </w:p>
        </w:tc>
        <w:tc>
          <w:tcPr>
            <w:tcW w:w="1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BA5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外网</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D7E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备注</w:t>
            </w:r>
          </w:p>
        </w:tc>
      </w:tr>
      <w:tr w14:paraId="1BFCE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B81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nil"/>
            </w:tcBorders>
            <w:shd w:val="clear" w:color="auto" w:fill="auto"/>
            <w:noWrap/>
            <w:vAlign w:val="center"/>
          </w:tcPr>
          <w:p w14:paraId="6210C0B0">
            <w:pPr>
              <w:jc w:val="center"/>
              <w:rPr>
                <w:rFonts w:hint="eastAsia" w:ascii="等线" w:hAnsi="等线" w:eastAsia="等线" w:cs="等线"/>
                <w:i w:val="0"/>
                <w:iCs w:val="0"/>
                <w:color w:val="auto"/>
                <w:sz w:val="22"/>
                <w:szCs w:val="22"/>
                <w:highlight w:val="none"/>
                <w:u w:val="none"/>
              </w:rPr>
            </w:pPr>
          </w:p>
        </w:tc>
        <w:tc>
          <w:tcPr>
            <w:tcW w:w="1595" w:type="dxa"/>
            <w:vMerge w:val="continue"/>
            <w:tcBorders>
              <w:top w:val="single" w:color="000000" w:sz="4" w:space="0"/>
              <w:left w:val="single" w:color="000000" w:sz="4" w:space="0"/>
              <w:bottom w:val="single" w:color="000000" w:sz="4" w:space="0"/>
              <w:right w:val="nil"/>
            </w:tcBorders>
            <w:shd w:val="clear" w:color="auto" w:fill="auto"/>
            <w:vAlign w:val="center"/>
          </w:tcPr>
          <w:p w14:paraId="1164F9F0">
            <w:pPr>
              <w:jc w:val="center"/>
              <w:rPr>
                <w:rFonts w:hint="eastAsia" w:ascii="等线" w:hAnsi="等线" w:eastAsia="等线" w:cs="等线"/>
                <w:i w:val="0"/>
                <w:iCs w:val="0"/>
                <w:color w:val="auto"/>
                <w:sz w:val="22"/>
                <w:szCs w:val="22"/>
                <w:highlight w:val="none"/>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D17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医疗网</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01A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电话网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E7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B0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有线电视网</w:t>
            </w: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3CFB9">
            <w:pPr>
              <w:jc w:val="center"/>
              <w:rPr>
                <w:rFonts w:hint="eastAsia" w:ascii="等线" w:hAnsi="等线" w:eastAsia="等线" w:cs="等线"/>
                <w:i w:val="0"/>
                <w:iCs w:val="0"/>
                <w:color w:val="auto"/>
                <w:sz w:val="22"/>
                <w:szCs w:val="22"/>
                <w:highlight w:val="none"/>
                <w:u w:val="none"/>
              </w:rPr>
            </w:pPr>
          </w:p>
        </w:tc>
      </w:tr>
      <w:tr w14:paraId="1AAC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6192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1F东弱电间</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ED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门诊大厅</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A0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2E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49B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50D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53A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11</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4E1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52DB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1961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EDB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D5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C0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CC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223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A3A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3FDB8">
            <w:pPr>
              <w:jc w:val="center"/>
              <w:rPr>
                <w:rFonts w:hint="eastAsia" w:ascii="等线" w:hAnsi="等线" w:eastAsia="等线" w:cs="等线"/>
                <w:i w:val="0"/>
                <w:iCs w:val="0"/>
                <w:color w:val="auto"/>
                <w:sz w:val="22"/>
                <w:szCs w:val="22"/>
                <w:highlight w:val="none"/>
                <w:u w:val="none"/>
              </w:rPr>
            </w:pPr>
          </w:p>
        </w:tc>
      </w:tr>
      <w:tr w14:paraId="49699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27CE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768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1E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财务办公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EB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B4D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34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44F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71CD2">
            <w:pPr>
              <w:jc w:val="center"/>
              <w:rPr>
                <w:rFonts w:hint="eastAsia" w:ascii="等线" w:hAnsi="等线" w:eastAsia="等线" w:cs="等线"/>
                <w:i w:val="0"/>
                <w:iCs w:val="0"/>
                <w:color w:val="auto"/>
                <w:sz w:val="22"/>
                <w:szCs w:val="22"/>
                <w:highlight w:val="none"/>
                <w:u w:val="none"/>
              </w:rPr>
            </w:pPr>
          </w:p>
        </w:tc>
      </w:tr>
      <w:tr w14:paraId="606D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E8E9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509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6A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91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21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3A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5BC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9036D">
            <w:pPr>
              <w:jc w:val="center"/>
              <w:rPr>
                <w:rFonts w:hint="eastAsia" w:ascii="等线" w:hAnsi="等线" w:eastAsia="等线" w:cs="等线"/>
                <w:i w:val="0"/>
                <w:iCs w:val="0"/>
                <w:color w:val="auto"/>
                <w:sz w:val="22"/>
                <w:szCs w:val="22"/>
                <w:highlight w:val="none"/>
                <w:u w:val="none"/>
              </w:rPr>
            </w:pPr>
          </w:p>
        </w:tc>
      </w:tr>
      <w:tr w14:paraId="19D9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C291E">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58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80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接种室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A13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66F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5D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B52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2E19D">
            <w:pPr>
              <w:jc w:val="center"/>
              <w:rPr>
                <w:rFonts w:hint="eastAsia" w:ascii="等线" w:hAnsi="等线" w:eastAsia="等线" w:cs="等线"/>
                <w:i w:val="0"/>
                <w:iCs w:val="0"/>
                <w:color w:val="auto"/>
                <w:sz w:val="22"/>
                <w:szCs w:val="22"/>
                <w:highlight w:val="none"/>
                <w:u w:val="none"/>
              </w:rPr>
            </w:pPr>
          </w:p>
        </w:tc>
      </w:tr>
      <w:tr w14:paraId="3FC34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098D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3DE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C87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候诊登记处</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66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2D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01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C20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BC8F">
            <w:pPr>
              <w:jc w:val="center"/>
              <w:rPr>
                <w:rFonts w:hint="eastAsia" w:ascii="等线" w:hAnsi="等线" w:eastAsia="等线" w:cs="等线"/>
                <w:i w:val="0"/>
                <w:iCs w:val="0"/>
                <w:color w:val="auto"/>
                <w:sz w:val="22"/>
                <w:szCs w:val="22"/>
                <w:highlight w:val="none"/>
                <w:u w:val="none"/>
              </w:rPr>
            </w:pPr>
          </w:p>
        </w:tc>
      </w:tr>
      <w:tr w14:paraId="0A7D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2639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A5C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FE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儿童心理室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F92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ED8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72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913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EF21B">
            <w:pPr>
              <w:jc w:val="center"/>
              <w:rPr>
                <w:rFonts w:hint="eastAsia" w:ascii="等线" w:hAnsi="等线" w:eastAsia="等线" w:cs="等线"/>
                <w:i w:val="0"/>
                <w:iCs w:val="0"/>
                <w:color w:val="auto"/>
                <w:sz w:val="22"/>
                <w:szCs w:val="22"/>
                <w:highlight w:val="none"/>
                <w:u w:val="none"/>
              </w:rPr>
            </w:pPr>
          </w:p>
        </w:tc>
      </w:tr>
      <w:tr w14:paraId="6447E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EB4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BA9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83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儿童输液区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24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3C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94A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D49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08C1F">
            <w:pPr>
              <w:jc w:val="center"/>
              <w:rPr>
                <w:rFonts w:hint="eastAsia" w:ascii="等线" w:hAnsi="等线" w:eastAsia="等线" w:cs="等线"/>
                <w:i w:val="0"/>
                <w:iCs w:val="0"/>
                <w:color w:val="auto"/>
                <w:sz w:val="22"/>
                <w:szCs w:val="22"/>
                <w:highlight w:val="none"/>
                <w:u w:val="none"/>
              </w:rPr>
            </w:pPr>
          </w:p>
        </w:tc>
      </w:tr>
      <w:tr w14:paraId="503F2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F856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A4DB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69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054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AD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B0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ABCE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7ABC">
            <w:pPr>
              <w:jc w:val="center"/>
              <w:rPr>
                <w:rFonts w:hint="eastAsia" w:ascii="等线" w:hAnsi="等线" w:eastAsia="等线" w:cs="等线"/>
                <w:i w:val="0"/>
                <w:iCs w:val="0"/>
                <w:color w:val="auto"/>
                <w:sz w:val="22"/>
                <w:szCs w:val="22"/>
                <w:highlight w:val="none"/>
                <w:u w:val="none"/>
              </w:rPr>
            </w:pPr>
          </w:p>
        </w:tc>
      </w:tr>
      <w:tr w14:paraId="7B974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70D8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DAA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5E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7D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300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55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603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BB90D">
            <w:pPr>
              <w:jc w:val="center"/>
              <w:rPr>
                <w:rFonts w:hint="eastAsia" w:ascii="等线" w:hAnsi="等线" w:eastAsia="等线" w:cs="等线"/>
                <w:i w:val="0"/>
                <w:iCs w:val="0"/>
                <w:color w:val="auto"/>
                <w:sz w:val="22"/>
                <w:szCs w:val="22"/>
                <w:highlight w:val="none"/>
                <w:u w:val="none"/>
              </w:rPr>
            </w:pPr>
          </w:p>
        </w:tc>
      </w:tr>
      <w:tr w14:paraId="5F6E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FF20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DEE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D2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雾化室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9B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D8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DD4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7F8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7C44F">
            <w:pPr>
              <w:jc w:val="center"/>
              <w:rPr>
                <w:rFonts w:hint="eastAsia" w:ascii="等线" w:hAnsi="等线" w:eastAsia="等线" w:cs="等线"/>
                <w:i w:val="0"/>
                <w:iCs w:val="0"/>
                <w:color w:val="auto"/>
                <w:sz w:val="22"/>
                <w:szCs w:val="22"/>
                <w:highlight w:val="none"/>
                <w:u w:val="none"/>
              </w:rPr>
            </w:pPr>
          </w:p>
        </w:tc>
      </w:tr>
      <w:tr w14:paraId="3798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99DE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FBDD">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59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86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75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39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96A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FB87">
            <w:pPr>
              <w:jc w:val="center"/>
              <w:rPr>
                <w:rFonts w:hint="eastAsia" w:ascii="等线" w:hAnsi="等线" w:eastAsia="等线" w:cs="等线"/>
                <w:i w:val="0"/>
                <w:iCs w:val="0"/>
                <w:color w:val="auto"/>
                <w:sz w:val="22"/>
                <w:szCs w:val="22"/>
                <w:highlight w:val="none"/>
                <w:u w:val="none"/>
              </w:rPr>
            </w:pPr>
          </w:p>
        </w:tc>
      </w:tr>
      <w:tr w14:paraId="7EA82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15E7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511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4B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药房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962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1E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4B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0F2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15ED0">
            <w:pPr>
              <w:jc w:val="center"/>
              <w:rPr>
                <w:rFonts w:hint="eastAsia" w:ascii="等线" w:hAnsi="等线" w:eastAsia="等线" w:cs="等线"/>
                <w:i w:val="0"/>
                <w:iCs w:val="0"/>
                <w:color w:val="auto"/>
                <w:sz w:val="22"/>
                <w:szCs w:val="22"/>
                <w:highlight w:val="none"/>
                <w:u w:val="none"/>
              </w:rPr>
            </w:pPr>
          </w:p>
        </w:tc>
      </w:tr>
      <w:tr w14:paraId="415CD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F79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B2FB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B5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BD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40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72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E4A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36FF">
            <w:pPr>
              <w:jc w:val="center"/>
              <w:rPr>
                <w:rFonts w:hint="eastAsia" w:ascii="等线" w:hAnsi="等线" w:eastAsia="等线" w:cs="等线"/>
                <w:i w:val="0"/>
                <w:iCs w:val="0"/>
                <w:color w:val="auto"/>
                <w:sz w:val="22"/>
                <w:szCs w:val="22"/>
                <w:highlight w:val="none"/>
                <w:u w:val="none"/>
              </w:rPr>
            </w:pPr>
          </w:p>
        </w:tc>
      </w:tr>
      <w:tr w14:paraId="2C7A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B3CD7">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0BA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6F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73B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B7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4A3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39A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DAA9">
            <w:pPr>
              <w:jc w:val="center"/>
              <w:rPr>
                <w:rFonts w:hint="eastAsia" w:ascii="等线" w:hAnsi="等线" w:eastAsia="等线" w:cs="等线"/>
                <w:i w:val="0"/>
                <w:iCs w:val="0"/>
                <w:color w:val="auto"/>
                <w:sz w:val="22"/>
                <w:szCs w:val="22"/>
                <w:highlight w:val="none"/>
                <w:u w:val="none"/>
              </w:rPr>
            </w:pPr>
          </w:p>
        </w:tc>
      </w:tr>
      <w:tr w14:paraId="401A5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9D29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86E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7B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A45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597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C1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414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2257">
            <w:pPr>
              <w:jc w:val="center"/>
              <w:rPr>
                <w:rFonts w:hint="eastAsia" w:ascii="等线" w:hAnsi="等线" w:eastAsia="等线" w:cs="等线"/>
                <w:i w:val="0"/>
                <w:iCs w:val="0"/>
                <w:color w:val="auto"/>
                <w:sz w:val="22"/>
                <w:szCs w:val="22"/>
                <w:highlight w:val="none"/>
                <w:u w:val="none"/>
              </w:rPr>
            </w:pPr>
          </w:p>
        </w:tc>
      </w:tr>
      <w:tr w14:paraId="18946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6F4F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B9F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F4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远程会诊示教室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BB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CBE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D7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9BD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5E8DE">
            <w:pPr>
              <w:jc w:val="center"/>
              <w:rPr>
                <w:rFonts w:hint="eastAsia" w:ascii="等线" w:hAnsi="等线" w:eastAsia="等线" w:cs="等线"/>
                <w:i w:val="0"/>
                <w:iCs w:val="0"/>
                <w:color w:val="auto"/>
                <w:sz w:val="22"/>
                <w:szCs w:val="22"/>
                <w:highlight w:val="none"/>
                <w:u w:val="none"/>
              </w:rPr>
            </w:pPr>
          </w:p>
        </w:tc>
      </w:tr>
      <w:tr w14:paraId="125A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367B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1471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FF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CA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D9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00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813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DCB33">
            <w:pPr>
              <w:jc w:val="center"/>
              <w:rPr>
                <w:rFonts w:hint="eastAsia" w:ascii="等线" w:hAnsi="等线" w:eastAsia="等线" w:cs="等线"/>
                <w:i w:val="0"/>
                <w:iCs w:val="0"/>
                <w:color w:val="auto"/>
                <w:sz w:val="22"/>
                <w:szCs w:val="22"/>
                <w:highlight w:val="none"/>
                <w:u w:val="none"/>
              </w:rPr>
            </w:pPr>
          </w:p>
        </w:tc>
      </w:tr>
      <w:tr w14:paraId="339B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377D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9F3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67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E42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71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8E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B89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81F9D">
            <w:pPr>
              <w:jc w:val="center"/>
              <w:rPr>
                <w:rFonts w:hint="eastAsia" w:ascii="等线" w:hAnsi="等线" w:eastAsia="等线" w:cs="等线"/>
                <w:i w:val="0"/>
                <w:iCs w:val="0"/>
                <w:color w:val="auto"/>
                <w:sz w:val="22"/>
                <w:szCs w:val="22"/>
                <w:highlight w:val="none"/>
                <w:u w:val="none"/>
              </w:rPr>
            </w:pPr>
          </w:p>
        </w:tc>
      </w:tr>
      <w:tr w14:paraId="501CB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4FA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6CF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C4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47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8B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36E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E3B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3319D">
            <w:pPr>
              <w:jc w:val="center"/>
              <w:rPr>
                <w:rFonts w:hint="eastAsia" w:ascii="等线" w:hAnsi="等线" w:eastAsia="等线" w:cs="等线"/>
                <w:i w:val="0"/>
                <w:iCs w:val="0"/>
                <w:color w:val="auto"/>
                <w:sz w:val="22"/>
                <w:szCs w:val="22"/>
                <w:highlight w:val="none"/>
                <w:u w:val="none"/>
              </w:rPr>
            </w:pPr>
          </w:p>
        </w:tc>
      </w:tr>
      <w:tr w14:paraId="4477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8F33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EB5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01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留观室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109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655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AFA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3E34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CAF3">
            <w:pPr>
              <w:jc w:val="center"/>
              <w:rPr>
                <w:rFonts w:hint="eastAsia" w:ascii="等线" w:hAnsi="等线" w:eastAsia="等线" w:cs="等线"/>
                <w:i w:val="0"/>
                <w:iCs w:val="0"/>
                <w:color w:val="auto"/>
                <w:sz w:val="22"/>
                <w:szCs w:val="22"/>
                <w:highlight w:val="none"/>
                <w:u w:val="none"/>
              </w:rPr>
            </w:pPr>
          </w:p>
        </w:tc>
      </w:tr>
      <w:tr w14:paraId="4FADC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FDDD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BBD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08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隔离诊室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A6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D9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8EC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DF9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F4B1D">
            <w:pPr>
              <w:jc w:val="center"/>
              <w:rPr>
                <w:rFonts w:hint="eastAsia" w:ascii="等线" w:hAnsi="等线" w:eastAsia="等线" w:cs="等线"/>
                <w:i w:val="0"/>
                <w:iCs w:val="0"/>
                <w:color w:val="auto"/>
                <w:sz w:val="22"/>
                <w:szCs w:val="22"/>
                <w:highlight w:val="none"/>
                <w:u w:val="none"/>
              </w:rPr>
            </w:pPr>
          </w:p>
        </w:tc>
      </w:tr>
      <w:tr w14:paraId="2F3A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3C086D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1F西弱电间</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40A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门诊大厅</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15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EE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EC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12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7D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11</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307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7AE2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1D5183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B6D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FB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中药房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391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4B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0DD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1D1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866D4">
            <w:pPr>
              <w:jc w:val="center"/>
              <w:rPr>
                <w:rFonts w:hint="eastAsia" w:ascii="等线" w:hAnsi="等线" w:eastAsia="等线" w:cs="等线"/>
                <w:i w:val="0"/>
                <w:iCs w:val="0"/>
                <w:color w:val="auto"/>
                <w:sz w:val="22"/>
                <w:szCs w:val="22"/>
                <w:highlight w:val="none"/>
                <w:u w:val="none"/>
              </w:rPr>
            </w:pPr>
          </w:p>
        </w:tc>
      </w:tr>
      <w:tr w14:paraId="791A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3385A4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C63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E1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西药房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8CD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7F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D1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EC0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9CFF3">
            <w:pPr>
              <w:jc w:val="center"/>
              <w:rPr>
                <w:rFonts w:hint="eastAsia" w:ascii="等线" w:hAnsi="等线" w:eastAsia="等线" w:cs="等线"/>
                <w:i w:val="0"/>
                <w:iCs w:val="0"/>
                <w:color w:val="auto"/>
                <w:sz w:val="22"/>
                <w:szCs w:val="22"/>
                <w:highlight w:val="none"/>
                <w:u w:val="none"/>
              </w:rPr>
            </w:pPr>
          </w:p>
        </w:tc>
      </w:tr>
      <w:tr w14:paraId="0AB82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EB53BC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F6D5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2A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40F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5F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CE5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833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2FF06">
            <w:pPr>
              <w:jc w:val="center"/>
              <w:rPr>
                <w:rFonts w:hint="eastAsia" w:ascii="等线" w:hAnsi="等线" w:eastAsia="等线" w:cs="等线"/>
                <w:i w:val="0"/>
                <w:iCs w:val="0"/>
                <w:color w:val="auto"/>
                <w:sz w:val="22"/>
                <w:szCs w:val="22"/>
                <w:highlight w:val="none"/>
                <w:u w:val="none"/>
              </w:rPr>
            </w:pPr>
          </w:p>
        </w:tc>
      </w:tr>
      <w:tr w14:paraId="74308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8A42EDE">
            <w:pPr>
              <w:jc w:val="center"/>
              <w:rPr>
                <w:rFonts w:hint="eastAsia" w:ascii="等线" w:hAnsi="等线" w:eastAsia="等线" w:cs="等线"/>
                <w:i w:val="0"/>
                <w:iCs w:val="0"/>
                <w:color w:val="auto"/>
                <w:sz w:val="22"/>
                <w:szCs w:val="22"/>
                <w:highlight w:val="none"/>
                <w:u w:val="none"/>
              </w:rPr>
            </w:pPr>
          </w:p>
        </w:tc>
        <w:tc>
          <w:tcPr>
            <w:tcW w:w="894" w:type="dxa"/>
            <w:vMerge w:val="restart"/>
            <w:tcBorders>
              <w:top w:val="nil"/>
              <w:left w:val="single" w:color="000000" w:sz="4" w:space="0"/>
              <w:bottom w:val="nil"/>
              <w:right w:val="single" w:color="000000" w:sz="4" w:space="0"/>
            </w:tcBorders>
            <w:shd w:val="clear" w:color="auto" w:fill="auto"/>
            <w:noWrap/>
            <w:vAlign w:val="center"/>
          </w:tcPr>
          <w:p w14:paraId="15B1F5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6B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24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9E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85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AA28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006B">
            <w:pPr>
              <w:jc w:val="center"/>
              <w:rPr>
                <w:rFonts w:hint="eastAsia" w:ascii="等线" w:hAnsi="等线" w:eastAsia="等线" w:cs="等线"/>
                <w:i w:val="0"/>
                <w:iCs w:val="0"/>
                <w:color w:val="auto"/>
                <w:sz w:val="22"/>
                <w:szCs w:val="22"/>
                <w:highlight w:val="none"/>
                <w:u w:val="none"/>
              </w:rPr>
            </w:pPr>
          </w:p>
        </w:tc>
      </w:tr>
      <w:tr w14:paraId="77C31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0430B3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77D6D83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DF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配液室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AD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8BB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A4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D26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78210">
            <w:pPr>
              <w:jc w:val="center"/>
              <w:rPr>
                <w:rFonts w:hint="eastAsia" w:ascii="等线" w:hAnsi="等线" w:eastAsia="等线" w:cs="等线"/>
                <w:i w:val="0"/>
                <w:iCs w:val="0"/>
                <w:color w:val="auto"/>
                <w:sz w:val="22"/>
                <w:szCs w:val="22"/>
                <w:highlight w:val="none"/>
                <w:u w:val="none"/>
              </w:rPr>
            </w:pPr>
          </w:p>
        </w:tc>
      </w:tr>
      <w:tr w14:paraId="3744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BA7BB6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55A47AA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46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05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FE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25B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0A9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62EB">
            <w:pPr>
              <w:jc w:val="center"/>
              <w:rPr>
                <w:rFonts w:hint="eastAsia" w:ascii="等线" w:hAnsi="等线" w:eastAsia="等线" w:cs="等线"/>
                <w:i w:val="0"/>
                <w:iCs w:val="0"/>
                <w:color w:val="auto"/>
                <w:sz w:val="22"/>
                <w:szCs w:val="22"/>
                <w:highlight w:val="none"/>
                <w:u w:val="none"/>
              </w:rPr>
            </w:pPr>
          </w:p>
        </w:tc>
      </w:tr>
      <w:tr w14:paraId="720F8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7DFCF7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06DAEAD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77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留观室（2间）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CD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6C5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38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328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8A815">
            <w:pPr>
              <w:jc w:val="center"/>
              <w:rPr>
                <w:rFonts w:hint="eastAsia" w:ascii="等线" w:hAnsi="等线" w:eastAsia="等线" w:cs="等线"/>
                <w:i w:val="0"/>
                <w:iCs w:val="0"/>
                <w:color w:val="auto"/>
                <w:sz w:val="22"/>
                <w:szCs w:val="22"/>
                <w:highlight w:val="none"/>
                <w:u w:val="none"/>
              </w:rPr>
            </w:pPr>
          </w:p>
        </w:tc>
      </w:tr>
      <w:tr w14:paraId="5A57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48C7EF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336EA4F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58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清创室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CB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83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E7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2DA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D1A4A">
            <w:pPr>
              <w:jc w:val="center"/>
              <w:rPr>
                <w:rFonts w:hint="eastAsia" w:ascii="等线" w:hAnsi="等线" w:eastAsia="等线" w:cs="等线"/>
                <w:i w:val="0"/>
                <w:iCs w:val="0"/>
                <w:color w:val="auto"/>
                <w:sz w:val="22"/>
                <w:szCs w:val="22"/>
                <w:highlight w:val="none"/>
                <w:u w:val="none"/>
              </w:rPr>
            </w:pPr>
          </w:p>
        </w:tc>
      </w:tr>
      <w:tr w14:paraId="229D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DC02E7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6CAEEC5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FE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4D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8BDC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AA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E47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2D99D">
            <w:pPr>
              <w:jc w:val="center"/>
              <w:rPr>
                <w:rFonts w:hint="eastAsia" w:ascii="等线" w:hAnsi="等线" w:eastAsia="等线" w:cs="等线"/>
                <w:i w:val="0"/>
                <w:iCs w:val="0"/>
                <w:color w:val="auto"/>
                <w:sz w:val="22"/>
                <w:szCs w:val="22"/>
                <w:highlight w:val="none"/>
                <w:u w:val="none"/>
              </w:rPr>
            </w:pPr>
          </w:p>
        </w:tc>
      </w:tr>
      <w:tr w14:paraId="002B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6E4406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4362954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B0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EICU</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D5A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FA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FA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528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83460">
            <w:pPr>
              <w:jc w:val="center"/>
              <w:rPr>
                <w:rFonts w:hint="eastAsia" w:ascii="等线" w:hAnsi="等线" w:eastAsia="等线" w:cs="等线"/>
                <w:i w:val="0"/>
                <w:iCs w:val="0"/>
                <w:color w:val="auto"/>
                <w:sz w:val="22"/>
                <w:szCs w:val="22"/>
                <w:highlight w:val="none"/>
                <w:u w:val="none"/>
              </w:rPr>
            </w:pPr>
          </w:p>
        </w:tc>
      </w:tr>
      <w:tr w14:paraId="00757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BB207A7">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3D8D6460">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D1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2C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878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EE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CAB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8EBF8">
            <w:pPr>
              <w:jc w:val="center"/>
              <w:rPr>
                <w:rFonts w:hint="eastAsia" w:ascii="等线" w:hAnsi="等线" w:eastAsia="等线" w:cs="等线"/>
                <w:i w:val="0"/>
                <w:iCs w:val="0"/>
                <w:color w:val="auto"/>
                <w:sz w:val="22"/>
                <w:szCs w:val="22"/>
                <w:highlight w:val="none"/>
                <w:u w:val="none"/>
              </w:rPr>
            </w:pPr>
          </w:p>
        </w:tc>
      </w:tr>
      <w:tr w14:paraId="1A07A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37744A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20748A1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A95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抢救室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C1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8F9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34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EFB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90EE6">
            <w:pPr>
              <w:jc w:val="center"/>
              <w:rPr>
                <w:rFonts w:hint="eastAsia" w:ascii="等线" w:hAnsi="等线" w:eastAsia="等线" w:cs="等线"/>
                <w:i w:val="0"/>
                <w:iCs w:val="0"/>
                <w:color w:val="auto"/>
                <w:sz w:val="22"/>
                <w:szCs w:val="22"/>
                <w:highlight w:val="none"/>
                <w:u w:val="none"/>
              </w:rPr>
            </w:pPr>
          </w:p>
        </w:tc>
      </w:tr>
      <w:tr w14:paraId="4887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1AB1257">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7334126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F2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急诊抢救大厅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A7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14B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24A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9C7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7CA7B">
            <w:pPr>
              <w:jc w:val="center"/>
              <w:rPr>
                <w:rFonts w:hint="eastAsia" w:ascii="等线" w:hAnsi="等线" w:eastAsia="等线" w:cs="等线"/>
                <w:i w:val="0"/>
                <w:iCs w:val="0"/>
                <w:color w:val="auto"/>
                <w:sz w:val="22"/>
                <w:szCs w:val="22"/>
                <w:highlight w:val="none"/>
                <w:u w:val="none"/>
              </w:rPr>
            </w:pPr>
          </w:p>
        </w:tc>
      </w:tr>
      <w:tr w14:paraId="113AB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1E0D98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2EA977F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F9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化验室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CA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2DD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52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A85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59747">
            <w:pPr>
              <w:jc w:val="center"/>
              <w:rPr>
                <w:rFonts w:hint="eastAsia" w:ascii="等线" w:hAnsi="等线" w:eastAsia="等线" w:cs="等线"/>
                <w:i w:val="0"/>
                <w:iCs w:val="0"/>
                <w:color w:val="auto"/>
                <w:sz w:val="22"/>
                <w:szCs w:val="22"/>
                <w:highlight w:val="none"/>
                <w:u w:val="none"/>
              </w:rPr>
            </w:pPr>
          </w:p>
        </w:tc>
      </w:tr>
      <w:tr w14:paraId="77D8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0C1219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306AA1E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F9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急诊挂号收费</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1C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C4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99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729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95208">
            <w:pPr>
              <w:jc w:val="center"/>
              <w:rPr>
                <w:rFonts w:hint="eastAsia" w:ascii="等线" w:hAnsi="等线" w:eastAsia="等线" w:cs="等线"/>
                <w:i w:val="0"/>
                <w:iCs w:val="0"/>
                <w:color w:val="auto"/>
                <w:sz w:val="22"/>
                <w:szCs w:val="22"/>
                <w:highlight w:val="none"/>
                <w:u w:val="none"/>
              </w:rPr>
            </w:pPr>
          </w:p>
        </w:tc>
      </w:tr>
      <w:tr w14:paraId="3A6E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965202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6305E93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6A5F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1B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10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992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053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CC17">
            <w:pPr>
              <w:jc w:val="center"/>
              <w:rPr>
                <w:rFonts w:hint="eastAsia" w:ascii="等线" w:hAnsi="等线" w:eastAsia="等线" w:cs="等线"/>
                <w:i w:val="0"/>
                <w:iCs w:val="0"/>
                <w:color w:val="auto"/>
                <w:sz w:val="22"/>
                <w:szCs w:val="22"/>
                <w:highlight w:val="none"/>
                <w:u w:val="none"/>
              </w:rPr>
            </w:pPr>
          </w:p>
        </w:tc>
      </w:tr>
      <w:tr w14:paraId="3F7C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39822E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371CD21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1E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观察室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46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EA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6E9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525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C312E">
            <w:pPr>
              <w:jc w:val="center"/>
              <w:rPr>
                <w:rFonts w:hint="eastAsia" w:ascii="等线" w:hAnsi="等线" w:eastAsia="等线" w:cs="等线"/>
                <w:i w:val="0"/>
                <w:iCs w:val="0"/>
                <w:color w:val="auto"/>
                <w:sz w:val="22"/>
                <w:szCs w:val="22"/>
                <w:highlight w:val="none"/>
                <w:u w:val="none"/>
              </w:rPr>
            </w:pPr>
          </w:p>
        </w:tc>
      </w:tr>
      <w:tr w14:paraId="3188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D4CD39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24562FA0">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68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发热门诊（2间）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E7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A0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9D2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8542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795AD">
            <w:pPr>
              <w:jc w:val="center"/>
              <w:rPr>
                <w:rFonts w:hint="eastAsia" w:ascii="等线" w:hAnsi="等线" w:eastAsia="等线" w:cs="等线"/>
                <w:i w:val="0"/>
                <w:iCs w:val="0"/>
                <w:color w:val="auto"/>
                <w:sz w:val="22"/>
                <w:szCs w:val="22"/>
                <w:highlight w:val="none"/>
                <w:u w:val="none"/>
              </w:rPr>
            </w:pPr>
          </w:p>
        </w:tc>
      </w:tr>
      <w:tr w14:paraId="67E6C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A981CE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51FC5AD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39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120值班室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B8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2C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EA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1E6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9F2B">
            <w:pPr>
              <w:jc w:val="center"/>
              <w:rPr>
                <w:rFonts w:hint="eastAsia" w:ascii="等线" w:hAnsi="等线" w:eastAsia="等线" w:cs="等线"/>
                <w:i w:val="0"/>
                <w:iCs w:val="0"/>
                <w:color w:val="auto"/>
                <w:sz w:val="22"/>
                <w:szCs w:val="22"/>
                <w:highlight w:val="none"/>
                <w:u w:val="none"/>
              </w:rPr>
            </w:pPr>
          </w:p>
        </w:tc>
      </w:tr>
      <w:tr w14:paraId="1BFD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1F1A96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74D3E96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33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预检分诊室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CE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1E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2F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1E4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C539">
            <w:pPr>
              <w:jc w:val="center"/>
              <w:rPr>
                <w:rFonts w:hint="eastAsia" w:ascii="等线" w:hAnsi="等线" w:eastAsia="等线" w:cs="等线"/>
                <w:i w:val="0"/>
                <w:iCs w:val="0"/>
                <w:color w:val="auto"/>
                <w:sz w:val="22"/>
                <w:szCs w:val="22"/>
                <w:highlight w:val="none"/>
                <w:u w:val="none"/>
              </w:rPr>
            </w:pPr>
          </w:p>
        </w:tc>
      </w:tr>
      <w:tr w14:paraId="18BF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F98E57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51B81A6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A00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6E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AD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95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C79C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7AA7">
            <w:pPr>
              <w:jc w:val="center"/>
              <w:rPr>
                <w:rFonts w:hint="eastAsia" w:ascii="等线" w:hAnsi="等线" w:eastAsia="等线" w:cs="等线"/>
                <w:i w:val="0"/>
                <w:iCs w:val="0"/>
                <w:color w:val="auto"/>
                <w:sz w:val="22"/>
                <w:szCs w:val="22"/>
                <w:highlight w:val="none"/>
                <w:u w:val="none"/>
              </w:rPr>
            </w:pPr>
          </w:p>
        </w:tc>
      </w:tr>
      <w:tr w14:paraId="210C1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694CF7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17CBDAC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4F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AC3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7B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FCF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7CC0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F8E1C">
            <w:pPr>
              <w:jc w:val="center"/>
              <w:rPr>
                <w:rFonts w:hint="eastAsia" w:ascii="等线" w:hAnsi="等线" w:eastAsia="等线" w:cs="等线"/>
                <w:i w:val="0"/>
                <w:iCs w:val="0"/>
                <w:color w:val="auto"/>
                <w:sz w:val="22"/>
                <w:szCs w:val="22"/>
                <w:highlight w:val="none"/>
                <w:u w:val="none"/>
              </w:rPr>
            </w:pPr>
          </w:p>
        </w:tc>
      </w:tr>
      <w:tr w14:paraId="0E444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30F57A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7A302B5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D4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示教医办</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E10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73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3CF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A572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CD593">
            <w:pPr>
              <w:jc w:val="center"/>
              <w:rPr>
                <w:rFonts w:hint="eastAsia" w:ascii="等线" w:hAnsi="等线" w:eastAsia="等线" w:cs="等线"/>
                <w:i w:val="0"/>
                <w:iCs w:val="0"/>
                <w:color w:val="auto"/>
                <w:sz w:val="22"/>
                <w:szCs w:val="22"/>
                <w:highlight w:val="none"/>
                <w:u w:val="none"/>
              </w:rPr>
            </w:pPr>
          </w:p>
        </w:tc>
      </w:tr>
      <w:tr w14:paraId="0696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66D89E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nil"/>
              <w:left w:val="single" w:color="000000" w:sz="4" w:space="0"/>
              <w:bottom w:val="nil"/>
              <w:right w:val="single" w:color="000000" w:sz="4" w:space="0"/>
            </w:tcBorders>
            <w:shd w:val="clear" w:color="auto" w:fill="auto"/>
            <w:noWrap/>
            <w:vAlign w:val="center"/>
          </w:tcPr>
          <w:p w14:paraId="3EE0992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F1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9DB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97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AA7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511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65BF8">
            <w:pPr>
              <w:jc w:val="center"/>
              <w:rPr>
                <w:rFonts w:hint="eastAsia" w:ascii="等线" w:hAnsi="等线" w:eastAsia="等线" w:cs="等线"/>
                <w:i w:val="0"/>
                <w:iCs w:val="0"/>
                <w:color w:val="auto"/>
                <w:sz w:val="22"/>
                <w:szCs w:val="22"/>
                <w:highlight w:val="none"/>
                <w:u w:val="none"/>
              </w:rPr>
            </w:pPr>
          </w:p>
        </w:tc>
      </w:tr>
      <w:tr w14:paraId="60245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215781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2F东弱电间</w:t>
            </w:r>
          </w:p>
        </w:tc>
        <w:tc>
          <w:tcPr>
            <w:tcW w:w="894" w:type="dxa"/>
            <w:vMerge w:val="restart"/>
            <w:tcBorders>
              <w:top w:val="single" w:color="000000" w:sz="4" w:space="0"/>
              <w:left w:val="single" w:color="000000" w:sz="4" w:space="0"/>
              <w:bottom w:val="nil"/>
              <w:right w:val="single" w:color="000000" w:sz="4" w:space="0"/>
            </w:tcBorders>
            <w:shd w:val="clear" w:color="auto" w:fill="auto"/>
            <w:noWrap/>
            <w:vAlign w:val="center"/>
          </w:tcPr>
          <w:p w14:paraId="059700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中医</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54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7E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C94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0B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84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14</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8B9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58DA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8301AA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0C1296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84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诊室（8间）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EA06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94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E3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BC4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12536">
            <w:pPr>
              <w:jc w:val="center"/>
              <w:rPr>
                <w:rFonts w:hint="eastAsia" w:ascii="等线" w:hAnsi="等线" w:eastAsia="等线" w:cs="等线"/>
                <w:i w:val="0"/>
                <w:iCs w:val="0"/>
                <w:color w:val="auto"/>
                <w:sz w:val="22"/>
                <w:szCs w:val="22"/>
                <w:highlight w:val="none"/>
                <w:u w:val="none"/>
              </w:rPr>
            </w:pPr>
          </w:p>
        </w:tc>
      </w:tr>
      <w:tr w14:paraId="7649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EBA05C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1B1F40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AD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主任诊室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2A3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9399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876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DAC5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55F44">
            <w:pPr>
              <w:jc w:val="center"/>
              <w:rPr>
                <w:rFonts w:hint="eastAsia" w:ascii="等线" w:hAnsi="等线" w:eastAsia="等线" w:cs="等线"/>
                <w:i w:val="0"/>
                <w:iCs w:val="0"/>
                <w:color w:val="auto"/>
                <w:sz w:val="22"/>
                <w:szCs w:val="22"/>
                <w:highlight w:val="none"/>
                <w:u w:val="none"/>
              </w:rPr>
            </w:pPr>
          </w:p>
        </w:tc>
      </w:tr>
      <w:tr w14:paraId="12A8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ADDF2C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A47D33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30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952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6B8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C4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29A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CF9BC">
            <w:pPr>
              <w:jc w:val="center"/>
              <w:rPr>
                <w:rFonts w:hint="eastAsia" w:ascii="等线" w:hAnsi="等线" w:eastAsia="等线" w:cs="等线"/>
                <w:i w:val="0"/>
                <w:iCs w:val="0"/>
                <w:color w:val="auto"/>
                <w:sz w:val="22"/>
                <w:szCs w:val="22"/>
                <w:highlight w:val="none"/>
                <w:u w:val="none"/>
              </w:rPr>
            </w:pPr>
          </w:p>
        </w:tc>
      </w:tr>
      <w:tr w14:paraId="34EA5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784C4A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DB04FF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20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277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53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E9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F4A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BB7B8">
            <w:pPr>
              <w:jc w:val="center"/>
              <w:rPr>
                <w:rFonts w:hint="eastAsia" w:ascii="等线" w:hAnsi="等线" w:eastAsia="等线" w:cs="等线"/>
                <w:i w:val="0"/>
                <w:iCs w:val="0"/>
                <w:color w:val="auto"/>
                <w:sz w:val="22"/>
                <w:szCs w:val="22"/>
                <w:highlight w:val="none"/>
                <w:u w:val="none"/>
              </w:rPr>
            </w:pPr>
          </w:p>
        </w:tc>
      </w:tr>
      <w:tr w14:paraId="68D1B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C099AF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ABE068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B9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86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CD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DB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DB7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4D329">
            <w:pPr>
              <w:jc w:val="center"/>
              <w:rPr>
                <w:rFonts w:hint="eastAsia" w:ascii="等线" w:hAnsi="等线" w:eastAsia="等线" w:cs="等线"/>
                <w:i w:val="0"/>
                <w:iCs w:val="0"/>
                <w:color w:val="auto"/>
                <w:sz w:val="22"/>
                <w:szCs w:val="22"/>
                <w:highlight w:val="none"/>
                <w:u w:val="none"/>
              </w:rPr>
            </w:pPr>
          </w:p>
        </w:tc>
      </w:tr>
      <w:tr w14:paraId="2274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CB420C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F6BB260">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A7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04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8D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50F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AD73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526B">
            <w:pPr>
              <w:jc w:val="center"/>
              <w:rPr>
                <w:rFonts w:hint="eastAsia" w:ascii="等线" w:hAnsi="等线" w:eastAsia="等线" w:cs="等线"/>
                <w:i w:val="0"/>
                <w:iCs w:val="0"/>
                <w:color w:val="auto"/>
                <w:sz w:val="22"/>
                <w:szCs w:val="22"/>
                <w:highlight w:val="none"/>
                <w:u w:val="none"/>
              </w:rPr>
            </w:pPr>
          </w:p>
        </w:tc>
      </w:tr>
      <w:tr w14:paraId="23B1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6420D9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2F西弱电间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703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1F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76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19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16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79FA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3C5C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A6679D9">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A9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F0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2E4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E5F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FD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572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23F1D">
            <w:pPr>
              <w:jc w:val="center"/>
              <w:rPr>
                <w:rFonts w:hint="eastAsia" w:ascii="等线" w:hAnsi="等线" w:eastAsia="等线" w:cs="等线"/>
                <w:i w:val="0"/>
                <w:iCs w:val="0"/>
                <w:color w:val="auto"/>
                <w:sz w:val="22"/>
                <w:szCs w:val="22"/>
                <w:highlight w:val="none"/>
                <w:u w:val="none"/>
              </w:rPr>
            </w:pPr>
          </w:p>
        </w:tc>
      </w:tr>
      <w:tr w14:paraId="52FB4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64414F5">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A027D">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A7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FC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73B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48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E53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C3C7">
            <w:pPr>
              <w:jc w:val="center"/>
              <w:rPr>
                <w:rFonts w:hint="eastAsia" w:ascii="等线" w:hAnsi="等线" w:eastAsia="等线" w:cs="等线"/>
                <w:i w:val="0"/>
                <w:iCs w:val="0"/>
                <w:color w:val="auto"/>
                <w:sz w:val="22"/>
                <w:szCs w:val="22"/>
                <w:highlight w:val="none"/>
                <w:u w:val="none"/>
              </w:rPr>
            </w:pPr>
          </w:p>
        </w:tc>
      </w:tr>
      <w:tr w14:paraId="7AA5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15B0CF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B5F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BB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6A81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90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6EE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187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32E97">
            <w:pPr>
              <w:jc w:val="center"/>
              <w:rPr>
                <w:rFonts w:hint="eastAsia" w:ascii="等线" w:hAnsi="等线" w:eastAsia="等线" w:cs="等线"/>
                <w:i w:val="0"/>
                <w:iCs w:val="0"/>
                <w:color w:val="auto"/>
                <w:sz w:val="22"/>
                <w:szCs w:val="22"/>
                <w:highlight w:val="none"/>
                <w:u w:val="none"/>
              </w:rPr>
            </w:pPr>
          </w:p>
        </w:tc>
      </w:tr>
      <w:tr w14:paraId="74FF8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77BF75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1F90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28B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内科诊室（4间）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D489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DF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34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470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7756">
            <w:pPr>
              <w:jc w:val="center"/>
              <w:rPr>
                <w:rFonts w:hint="eastAsia" w:ascii="等线" w:hAnsi="等线" w:eastAsia="等线" w:cs="等线"/>
                <w:i w:val="0"/>
                <w:iCs w:val="0"/>
                <w:color w:val="auto"/>
                <w:sz w:val="22"/>
                <w:szCs w:val="22"/>
                <w:highlight w:val="none"/>
                <w:u w:val="none"/>
              </w:rPr>
            </w:pPr>
          </w:p>
        </w:tc>
      </w:tr>
      <w:tr w14:paraId="30550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531475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9DF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63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087D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74B2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BA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576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4245F">
            <w:pPr>
              <w:jc w:val="center"/>
              <w:rPr>
                <w:rFonts w:hint="eastAsia" w:ascii="等线" w:hAnsi="等线" w:eastAsia="等线" w:cs="等线"/>
                <w:i w:val="0"/>
                <w:iCs w:val="0"/>
                <w:color w:val="auto"/>
                <w:sz w:val="22"/>
                <w:szCs w:val="22"/>
                <w:highlight w:val="none"/>
                <w:u w:val="none"/>
              </w:rPr>
            </w:pPr>
          </w:p>
        </w:tc>
      </w:tr>
      <w:tr w14:paraId="3E442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6602D7F">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5A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42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外科诊室（4间）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27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AD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50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182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C5644">
            <w:pPr>
              <w:jc w:val="center"/>
              <w:rPr>
                <w:rFonts w:hint="eastAsia" w:ascii="等线" w:hAnsi="等线" w:eastAsia="等线" w:cs="等线"/>
                <w:i w:val="0"/>
                <w:iCs w:val="0"/>
                <w:color w:val="auto"/>
                <w:sz w:val="22"/>
                <w:szCs w:val="22"/>
                <w:highlight w:val="none"/>
                <w:u w:val="none"/>
              </w:rPr>
            </w:pPr>
          </w:p>
        </w:tc>
      </w:tr>
      <w:tr w14:paraId="420D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11C131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25C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E1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13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8F2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EBB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42B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C3408">
            <w:pPr>
              <w:jc w:val="center"/>
              <w:rPr>
                <w:rFonts w:hint="eastAsia" w:ascii="等线" w:hAnsi="等线" w:eastAsia="等线" w:cs="等线"/>
                <w:i w:val="0"/>
                <w:iCs w:val="0"/>
                <w:color w:val="auto"/>
                <w:sz w:val="22"/>
                <w:szCs w:val="22"/>
                <w:highlight w:val="none"/>
                <w:u w:val="none"/>
              </w:rPr>
            </w:pPr>
          </w:p>
        </w:tc>
      </w:tr>
      <w:tr w14:paraId="5B142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2EED6A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BBE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36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5E9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EF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81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89B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609EF">
            <w:pPr>
              <w:jc w:val="center"/>
              <w:rPr>
                <w:rFonts w:hint="eastAsia" w:ascii="等线" w:hAnsi="等线" w:eastAsia="等线" w:cs="等线"/>
                <w:i w:val="0"/>
                <w:iCs w:val="0"/>
                <w:color w:val="auto"/>
                <w:sz w:val="22"/>
                <w:szCs w:val="22"/>
                <w:highlight w:val="none"/>
                <w:u w:val="none"/>
              </w:rPr>
            </w:pPr>
          </w:p>
        </w:tc>
      </w:tr>
      <w:tr w14:paraId="74030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1D0CD85">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EFB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B46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77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07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12FF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393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DC9AD">
            <w:pPr>
              <w:jc w:val="center"/>
              <w:rPr>
                <w:rFonts w:hint="eastAsia" w:ascii="等线" w:hAnsi="等线" w:eastAsia="等线" w:cs="等线"/>
                <w:i w:val="0"/>
                <w:iCs w:val="0"/>
                <w:color w:val="auto"/>
                <w:sz w:val="22"/>
                <w:szCs w:val="22"/>
                <w:highlight w:val="none"/>
                <w:u w:val="none"/>
              </w:rPr>
            </w:pPr>
          </w:p>
        </w:tc>
      </w:tr>
      <w:tr w14:paraId="01165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7420B3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D26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C6D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229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4C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9CA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3D6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F6CE4">
            <w:pPr>
              <w:jc w:val="center"/>
              <w:rPr>
                <w:rFonts w:hint="eastAsia" w:ascii="等线" w:hAnsi="等线" w:eastAsia="等线" w:cs="等线"/>
                <w:i w:val="0"/>
                <w:iCs w:val="0"/>
                <w:color w:val="auto"/>
                <w:sz w:val="22"/>
                <w:szCs w:val="22"/>
                <w:highlight w:val="none"/>
                <w:u w:val="none"/>
              </w:rPr>
            </w:pPr>
          </w:p>
        </w:tc>
      </w:tr>
      <w:tr w14:paraId="30D5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D96D2E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D3FD">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E2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8E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CD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92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DF5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D849">
            <w:pPr>
              <w:jc w:val="center"/>
              <w:rPr>
                <w:rFonts w:hint="eastAsia" w:ascii="等线" w:hAnsi="等线" w:eastAsia="等线" w:cs="等线"/>
                <w:i w:val="0"/>
                <w:iCs w:val="0"/>
                <w:color w:val="auto"/>
                <w:sz w:val="22"/>
                <w:szCs w:val="22"/>
                <w:highlight w:val="none"/>
                <w:u w:val="none"/>
              </w:rPr>
            </w:pPr>
          </w:p>
        </w:tc>
      </w:tr>
      <w:tr w14:paraId="044AE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720BAE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116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CC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8B1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989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76F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CE4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E8FD0">
            <w:pPr>
              <w:jc w:val="center"/>
              <w:rPr>
                <w:rFonts w:hint="eastAsia" w:ascii="等线" w:hAnsi="等线" w:eastAsia="等线" w:cs="等线"/>
                <w:i w:val="0"/>
                <w:iCs w:val="0"/>
                <w:color w:val="auto"/>
                <w:sz w:val="22"/>
                <w:szCs w:val="22"/>
                <w:highlight w:val="none"/>
                <w:u w:val="none"/>
              </w:rPr>
            </w:pPr>
          </w:p>
        </w:tc>
      </w:tr>
      <w:tr w14:paraId="64BEC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E2C52A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A8F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2B3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43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9D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69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8E0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E7C10">
            <w:pPr>
              <w:jc w:val="center"/>
              <w:rPr>
                <w:rFonts w:hint="eastAsia" w:ascii="等线" w:hAnsi="等线" w:eastAsia="等线" w:cs="等线"/>
                <w:i w:val="0"/>
                <w:iCs w:val="0"/>
                <w:color w:val="auto"/>
                <w:sz w:val="22"/>
                <w:szCs w:val="22"/>
                <w:highlight w:val="none"/>
                <w:u w:val="none"/>
              </w:rPr>
            </w:pPr>
          </w:p>
        </w:tc>
      </w:tr>
      <w:tr w14:paraId="3E31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B6E6FD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3AA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A4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59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10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22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C75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11B7">
            <w:pPr>
              <w:jc w:val="center"/>
              <w:rPr>
                <w:rFonts w:hint="eastAsia" w:ascii="等线" w:hAnsi="等线" w:eastAsia="等线" w:cs="等线"/>
                <w:i w:val="0"/>
                <w:iCs w:val="0"/>
                <w:color w:val="auto"/>
                <w:sz w:val="22"/>
                <w:szCs w:val="22"/>
                <w:highlight w:val="none"/>
                <w:u w:val="none"/>
              </w:rPr>
            </w:pPr>
          </w:p>
        </w:tc>
      </w:tr>
      <w:tr w14:paraId="2930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42A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3F东弱电间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9F7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80C2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42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B8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1F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55B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665C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49A5">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4D0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24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B800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F2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486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B759D">
            <w:pPr>
              <w:jc w:val="center"/>
              <w:rPr>
                <w:rFonts w:hint="eastAsia" w:ascii="等线" w:hAnsi="等线" w:eastAsia="等线" w:cs="等线"/>
                <w:i w:val="0"/>
                <w:iCs w:val="0"/>
                <w:color w:val="auto"/>
                <w:sz w:val="22"/>
                <w:szCs w:val="22"/>
                <w:highlight w:val="none"/>
                <w:u w:val="none"/>
              </w:rPr>
            </w:pPr>
          </w:p>
        </w:tc>
      </w:tr>
      <w:tr w14:paraId="374C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D213A">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C7B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6B10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DB0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9D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87E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7F155">
            <w:pPr>
              <w:jc w:val="center"/>
              <w:rPr>
                <w:rFonts w:hint="eastAsia" w:ascii="等线" w:hAnsi="等线" w:eastAsia="等线" w:cs="等线"/>
                <w:i w:val="0"/>
                <w:iCs w:val="0"/>
                <w:color w:val="auto"/>
                <w:sz w:val="22"/>
                <w:szCs w:val="22"/>
                <w:highlight w:val="none"/>
                <w:u w:val="none"/>
              </w:rPr>
            </w:pPr>
          </w:p>
        </w:tc>
      </w:tr>
      <w:tr w14:paraId="067E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E2C4A">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61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眼鼻喉科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51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诊室（6间）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54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998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08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A0CF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CB30">
            <w:pPr>
              <w:jc w:val="center"/>
              <w:rPr>
                <w:rFonts w:hint="eastAsia" w:ascii="等线" w:hAnsi="等线" w:eastAsia="等线" w:cs="等线"/>
                <w:i w:val="0"/>
                <w:iCs w:val="0"/>
                <w:color w:val="auto"/>
                <w:sz w:val="22"/>
                <w:szCs w:val="22"/>
                <w:highlight w:val="none"/>
                <w:u w:val="none"/>
              </w:rPr>
            </w:pPr>
          </w:p>
        </w:tc>
      </w:tr>
      <w:tr w14:paraId="186D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4B16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0CD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D9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8F2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5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65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CFA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DB37">
            <w:pPr>
              <w:jc w:val="center"/>
              <w:rPr>
                <w:rFonts w:hint="eastAsia" w:ascii="等线" w:hAnsi="等线" w:eastAsia="等线" w:cs="等线"/>
                <w:i w:val="0"/>
                <w:iCs w:val="0"/>
                <w:color w:val="auto"/>
                <w:sz w:val="22"/>
                <w:szCs w:val="22"/>
                <w:highlight w:val="none"/>
                <w:u w:val="none"/>
              </w:rPr>
            </w:pPr>
          </w:p>
        </w:tc>
      </w:tr>
      <w:tr w14:paraId="6BABB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972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1A5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0C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测听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901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B4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58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1A7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337CA">
            <w:pPr>
              <w:jc w:val="center"/>
              <w:rPr>
                <w:rFonts w:hint="eastAsia" w:ascii="等线" w:hAnsi="等线" w:eastAsia="等线" w:cs="等线"/>
                <w:i w:val="0"/>
                <w:iCs w:val="0"/>
                <w:color w:val="auto"/>
                <w:sz w:val="22"/>
                <w:szCs w:val="22"/>
                <w:highlight w:val="none"/>
                <w:u w:val="none"/>
              </w:rPr>
            </w:pPr>
          </w:p>
        </w:tc>
      </w:tr>
      <w:tr w14:paraId="6D70C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2CAF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8DB0">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9F1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11A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279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B52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A11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C13E9">
            <w:pPr>
              <w:jc w:val="center"/>
              <w:rPr>
                <w:rFonts w:hint="eastAsia" w:ascii="等线" w:hAnsi="等线" w:eastAsia="等线" w:cs="等线"/>
                <w:i w:val="0"/>
                <w:iCs w:val="0"/>
                <w:color w:val="auto"/>
                <w:sz w:val="22"/>
                <w:szCs w:val="22"/>
                <w:highlight w:val="none"/>
                <w:u w:val="none"/>
              </w:rPr>
            </w:pPr>
          </w:p>
        </w:tc>
      </w:tr>
      <w:tr w14:paraId="1F2E1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F5A41">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1E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口腔科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A3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66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99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B2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1F5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B1D7">
            <w:pPr>
              <w:jc w:val="center"/>
              <w:rPr>
                <w:rFonts w:hint="eastAsia" w:ascii="等线" w:hAnsi="等线" w:eastAsia="等线" w:cs="等线"/>
                <w:i w:val="0"/>
                <w:iCs w:val="0"/>
                <w:color w:val="auto"/>
                <w:sz w:val="22"/>
                <w:szCs w:val="22"/>
                <w:highlight w:val="none"/>
                <w:u w:val="none"/>
              </w:rPr>
            </w:pPr>
          </w:p>
        </w:tc>
      </w:tr>
      <w:tr w14:paraId="2E9E3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B882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CB3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E2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1F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697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74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EFF4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8C434">
            <w:pPr>
              <w:jc w:val="center"/>
              <w:rPr>
                <w:rFonts w:hint="eastAsia" w:ascii="等线" w:hAnsi="等线" w:eastAsia="等线" w:cs="等线"/>
                <w:i w:val="0"/>
                <w:iCs w:val="0"/>
                <w:color w:val="auto"/>
                <w:sz w:val="22"/>
                <w:szCs w:val="22"/>
                <w:highlight w:val="none"/>
                <w:u w:val="none"/>
              </w:rPr>
            </w:pPr>
          </w:p>
        </w:tc>
      </w:tr>
      <w:tr w14:paraId="3D76F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581A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7B5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E0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口腔治疗</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E0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2A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111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B00C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52558">
            <w:pPr>
              <w:jc w:val="center"/>
              <w:rPr>
                <w:rFonts w:hint="eastAsia" w:ascii="等线" w:hAnsi="等线" w:eastAsia="等线" w:cs="等线"/>
                <w:i w:val="0"/>
                <w:iCs w:val="0"/>
                <w:color w:val="auto"/>
                <w:sz w:val="22"/>
                <w:szCs w:val="22"/>
                <w:highlight w:val="none"/>
                <w:u w:val="none"/>
              </w:rPr>
            </w:pPr>
          </w:p>
        </w:tc>
      </w:tr>
      <w:tr w14:paraId="14B1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45E1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71C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8B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种牙室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0D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3E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59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926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4883">
            <w:pPr>
              <w:jc w:val="center"/>
              <w:rPr>
                <w:rFonts w:hint="eastAsia" w:ascii="等线" w:hAnsi="等线" w:eastAsia="等线" w:cs="等线"/>
                <w:i w:val="0"/>
                <w:iCs w:val="0"/>
                <w:color w:val="auto"/>
                <w:sz w:val="22"/>
                <w:szCs w:val="22"/>
                <w:highlight w:val="none"/>
                <w:u w:val="none"/>
              </w:rPr>
            </w:pPr>
          </w:p>
        </w:tc>
      </w:tr>
      <w:tr w14:paraId="49CF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4A44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C8C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26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X光室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7AA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AA4F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C1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793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D0265">
            <w:pPr>
              <w:jc w:val="center"/>
              <w:rPr>
                <w:rFonts w:hint="eastAsia" w:ascii="等线" w:hAnsi="等线" w:eastAsia="等线" w:cs="等线"/>
                <w:i w:val="0"/>
                <w:iCs w:val="0"/>
                <w:color w:val="auto"/>
                <w:sz w:val="22"/>
                <w:szCs w:val="22"/>
                <w:highlight w:val="none"/>
                <w:u w:val="none"/>
              </w:rPr>
            </w:pPr>
          </w:p>
        </w:tc>
      </w:tr>
      <w:tr w14:paraId="0B077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124CF">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BE9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皮肤科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AB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咨询室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EE8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6E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727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339E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C4951">
            <w:pPr>
              <w:jc w:val="center"/>
              <w:rPr>
                <w:rFonts w:hint="eastAsia" w:ascii="等线" w:hAnsi="等线" w:eastAsia="等线" w:cs="等线"/>
                <w:i w:val="0"/>
                <w:iCs w:val="0"/>
                <w:color w:val="auto"/>
                <w:sz w:val="22"/>
                <w:szCs w:val="22"/>
                <w:highlight w:val="none"/>
                <w:u w:val="none"/>
              </w:rPr>
            </w:pPr>
          </w:p>
        </w:tc>
      </w:tr>
      <w:tr w14:paraId="70C67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2F08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C9ED">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43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09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BA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D2E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3FE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C1F25">
            <w:pPr>
              <w:jc w:val="center"/>
              <w:rPr>
                <w:rFonts w:hint="eastAsia" w:ascii="等线" w:hAnsi="等线" w:eastAsia="等线" w:cs="等线"/>
                <w:i w:val="0"/>
                <w:iCs w:val="0"/>
                <w:color w:val="auto"/>
                <w:sz w:val="22"/>
                <w:szCs w:val="22"/>
                <w:highlight w:val="none"/>
                <w:u w:val="none"/>
              </w:rPr>
            </w:pPr>
          </w:p>
        </w:tc>
      </w:tr>
      <w:tr w14:paraId="41C5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04AC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101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C8C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46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6F6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AA8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2B3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BCA7C">
            <w:pPr>
              <w:jc w:val="center"/>
              <w:rPr>
                <w:rFonts w:hint="eastAsia" w:ascii="等线" w:hAnsi="等线" w:eastAsia="等线" w:cs="等线"/>
                <w:i w:val="0"/>
                <w:iCs w:val="0"/>
                <w:color w:val="auto"/>
                <w:sz w:val="22"/>
                <w:szCs w:val="22"/>
                <w:highlight w:val="none"/>
                <w:u w:val="none"/>
              </w:rPr>
            </w:pPr>
          </w:p>
        </w:tc>
      </w:tr>
      <w:tr w14:paraId="5209A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3C15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B15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F4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3C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25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38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6CE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9B2CB">
            <w:pPr>
              <w:jc w:val="center"/>
              <w:rPr>
                <w:rFonts w:hint="eastAsia" w:ascii="等线" w:hAnsi="等线" w:eastAsia="等线" w:cs="等线"/>
                <w:i w:val="0"/>
                <w:iCs w:val="0"/>
                <w:color w:val="auto"/>
                <w:sz w:val="22"/>
                <w:szCs w:val="22"/>
                <w:highlight w:val="none"/>
                <w:u w:val="none"/>
              </w:rPr>
            </w:pPr>
          </w:p>
        </w:tc>
      </w:tr>
      <w:tr w14:paraId="3B8D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6392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7B0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12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06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EA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FD1C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E267B">
            <w:pPr>
              <w:jc w:val="center"/>
              <w:rPr>
                <w:rFonts w:hint="eastAsia" w:ascii="等线" w:hAnsi="等线" w:eastAsia="等线" w:cs="等线"/>
                <w:i w:val="0"/>
                <w:iCs w:val="0"/>
                <w:color w:val="auto"/>
                <w:sz w:val="22"/>
                <w:szCs w:val="22"/>
                <w:highlight w:val="none"/>
                <w:u w:val="none"/>
              </w:rPr>
            </w:pPr>
          </w:p>
        </w:tc>
      </w:tr>
      <w:tr w14:paraId="13CB5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C1F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3F西弱电间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4FB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10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67D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783F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C5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7E4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3921F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5B3DE">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3E5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07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569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05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14A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AEFA8">
            <w:pPr>
              <w:jc w:val="center"/>
              <w:rPr>
                <w:rFonts w:hint="eastAsia" w:ascii="等线" w:hAnsi="等线" w:eastAsia="等线" w:cs="等线"/>
                <w:i w:val="0"/>
                <w:iCs w:val="0"/>
                <w:color w:val="auto"/>
                <w:sz w:val="22"/>
                <w:szCs w:val="22"/>
                <w:highlight w:val="none"/>
                <w:u w:val="none"/>
              </w:rPr>
            </w:pPr>
          </w:p>
        </w:tc>
      </w:tr>
      <w:tr w14:paraId="0428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75EA8">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C71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资料室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F94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3A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D00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F70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689FD">
            <w:pPr>
              <w:jc w:val="center"/>
              <w:rPr>
                <w:rFonts w:hint="eastAsia" w:ascii="等线" w:hAnsi="等线" w:eastAsia="等线" w:cs="等线"/>
                <w:i w:val="0"/>
                <w:iCs w:val="0"/>
                <w:color w:val="auto"/>
                <w:sz w:val="22"/>
                <w:szCs w:val="22"/>
                <w:highlight w:val="none"/>
                <w:u w:val="none"/>
              </w:rPr>
            </w:pPr>
          </w:p>
        </w:tc>
      </w:tr>
      <w:tr w14:paraId="4717B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B9CA9">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9A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社区服务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D6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家庭医生诊室（4间）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C1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93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386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D1DD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2B406">
            <w:pPr>
              <w:jc w:val="center"/>
              <w:rPr>
                <w:rFonts w:hint="eastAsia" w:ascii="等线" w:hAnsi="等线" w:eastAsia="等线" w:cs="等线"/>
                <w:i w:val="0"/>
                <w:iCs w:val="0"/>
                <w:color w:val="auto"/>
                <w:sz w:val="22"/>
                <w:szCs w:val="22"/>
                <w:highlight w:val="none"/>
                <w:u w:val="none"/>
              </w:rPr>
            </w:pPr>
          </w:p>
        </w:tc>
      </w:tr>
      <w:tr w14:paraId="076BE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2AB7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C86B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41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家庭医生签约室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92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BD4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B4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8D5C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8B99E">
            <w:pPr>
              <w:jc w:val="center"/>
              <w:rPr>
                <w:rFonts w:hint="eastAsia" w:ascii="等线" w:hAnsi="等线" w:eastAsia="等线" w:cs="等线"/>
                <w:i w:val="0"/>
                <w:iCs w:val="0"/>
                <w:color w:val="auto"/>
                <w:sz w:val="22"/>
                <w:szCs w:val="22"/>
                <w:highlight w:val="none"/>
                <w:u w:val="none"/>
              </w:rPr>
            </w:pPr>
          </w:p>
        </w:tc>
      </w:tr>
      <w:tr w14:paraId="0432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051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C0B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E4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710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AF0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C4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823A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6169E">
            <w:pPr>
              <w:jc w:val="center"/>
              <w:rPr>
                <w:rFonts w:hint="eastAsia" w:ascii="等线" w:hAnsi="等线" w:eastAsia="等线" w:cs="等线"/>
                <w:i w:val="0"/>
                <w:iCs w:val="0"/>
                <w:color w:val="auto"/>
                <w:sz w:val="22"/>
                <w:szCs w:val="22"/>
                <w:highlight w:val="none"/>
                <w:u w:val="none"/>
              </w:rPr>
            </w:pPr>
          </w:p>
        </w:tc>
      </w:tr>
      <w:tr w14:paraId="79AE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71770">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A68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0C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85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98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10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F95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79D09">
            <w:pPr>
              <w:jc w:val="center"/>
              <w:rPr>
                <w:rFonts w:hint="eastAsia" w:ascii="等线" w:hAnsi="等线" w:eastAsia="等线" w:cs="等线"/>
                <w:i w:val="0"/>
                <w:iCs w:val="0"/>
                <w:color w:val="auto"/>
                <w:sz w:val="22"/>
                <w:szCs w:val="22"/>
                <w:highlight w:val="none"/>
                <w:u w:val="none"/>
              </w:rPr>
            </w:pPr>
          </w:p>
        </w:tc>
      </w:tr>
      <w:tr w14:paraId="2D6F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5C62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E9D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772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检查室（2间）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74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D40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0C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23F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BB306">
            <w:pPr>
              <w:jc w:val="center"/>
              <w:rPr>
                <w:rFonts w:hint="eastAsia" w:ascii="等线" w:hAnsi="等线" w:eastAsia="等线" w:cs="等线"/>
                <w:i w:val="0"/>
                <w:iCs w:val="0"/>
                <w:color w:val="auto"/>
                <w:sz w:val="22"/>
                <w:szCs w:val="22"/>
                <w:highlight w:val="none"/>
                <w:u w:val="none"/>
              </w:rPr>
            </w:pPr>
          </w:p>
        </w:tc>
      </w:tr>
      <w:tr w14:paraId="39195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58F5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D841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20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8F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29B3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36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89A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41FAE">
            <w:pPr>
              <w:jc w:val="center"/>
              <w:rPr>
                <w:rFonts w:hint="eastAsia" w:ascii="等线" w:hAnsi="等线" w:eastAsia="等线" w:cs="等线"/>
                <w:i w:val="0"/>
                <w:iCs w:val="0"/>
                <w:color w:val="auto"/>
                <w:sz w:val="22"/>
                <w:szCs w:val="22"/>
                <w:highlight w:val="none"/>
                <w:u w:val="none"/>
              </w:rPr>
            </w:pPr>
          </w:p>
        </w:tc>
      </w:tr>
      <w:tr w14:paraId="777AD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3869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53D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4B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8B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0EA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B0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E7B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0433C">
            <w:pPr>
              <w:jc w:val="center"/>
              <w:rPr>
                <w:rFonts w:hint="eastAsia" w:ascii="等线" w:hAnsi="等线" w:eastAsia="等线" w:cs="等线"/>
                <w:i w:val="0"/>
                <w:iCs w:val="0"/>
                <w:color w:val="auto"/>
                <w:sz w:val="22"/>
                <w:szCs w:val="22"/>
                <w:highlight w:val="none"/>
                <w:u w:val="none"/>
              </w:rPr>
            </w:pPr>
          </w:p>
        </w:tc>
      </w:tr>
      <w:tr w14:paraId="7509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93589">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2DE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B8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诊室（3间）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BBC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A5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86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5BD0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37A52">
            <w:pPr>
              <w:jc w:val="center"/>
              <w:rPr>
                <w:rFonts w:hint="eastAsia" w:ascii="等线" w:hAnsi="等线" w:eastAsia="等线" w:cs="等线"/>
                <w:i w:val="0"/>
                <w:iCs w:val="0"/>
                <w:color w:val="auto"/>
                <w:sz w:val="22"/>
                <w:szCs w:val="22"/>
                <w:highlight w:val="none"/>
                <w:u w:val="none"/>
              </w:rPr>
            </w:pPr>
          </w:p>
        </w:tc>
      </w:tr>
      <w:tr w14:paraId="4825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1FBB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9D7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31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宣教室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0E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BC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D2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98B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C4D32">
            <w:pPr>
              <w:jc w:val="center"/>
              <w:rPr>
                <w:rFonts w:hint="eastAsia" w:ascii="等线" w:hAnsi="等线" w:eastAsia="等线" w:cs="等线"/>
                <w:i w:val="0"/>
                <w:iCs w:val="0"/>
                <w:color w:val="auto"/>
                <w:sz w:val="22"/>
                <w:szCs w:val="22"/>
                <w:highlight w:val="none"/>
                <w:u w:val="none"/>
              </w:rPr>
            </w:pPr>
          </w:p>
        </w:tc>
      </w:tr>
      <w:tr w14:paraId="38325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9D6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6286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EC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妊娠疾病诊察室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628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02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E6B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2D17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953B3">
            <w:pPr>
              <w:jc w:val="center"/>
              <w:rPr>
                <w:rFonts w:hint="eastAsia" w:ascii="等线" w:hAnsi="等线" w:eastAsia="等线" w:cs="等线"/>
                <w:i w:val="0"/>
                <w:iCs w:val="0"/>
                <w:color w:val="auto"/>
                <w:sz w:val="22"/>
                <w:szCs w:val="22"/>
                <w:highlight w:val="none"/>
                <w:u w:val="none"/>
              </w:rPr>
            </w:pPr>
          </w:p>
        </w:tc>
      </w:tr>
      <w:tr w14:paraId="4A6B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D49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D33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036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65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44E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76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AD5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90D13">
            <w:pPr>
              <w:jc w:val="center"/>
              <w:rPr>
                <w:rFonts w:hint="eastAsia" w:ascii="等线" w:hAnsi="等线" w:eastAsia="等线" w:cs="等线"/>
                <w:i w:val="0"/>
                <w:iCs w:val="0"/>
                <w:color w:val="auto"/>
                <w:sz w:val="22"/>
                <w:szCs w:val="22"/>
                <w:highlight w:val="none"/>
                <w:u w:val="none"/>
              </w:rPr>
            </w:pPr>
          </w:p>
        </w:tc>
      </w:tr>
      <w:tr w14:paraId="3345D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9C17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7C6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51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胎监室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17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94E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C7A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493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643B">
            <w:pPr>
              <w:jc w:val="center"/>
              <w:rPr>
                <w:rFonts w:hint="eastAsia" w:ascii="等线" w:hAnsi="等线" w:eastAsia="等线" w:cs="等线"/>
                <w:i w:val="0"/>
                <w:iCs w:val="0"/>
                <w:color w:val="auto"/>
                <w:sz w:val="22"/>
                <w:szCs w:val="22"/>
                <w:highlight w:val="none"/>
                <w:u w:val="none"/>
              </w:rPr>
            </w:pPr>
          </w:p>
        </w:tc>
      </w:tr>
      <w:tr w14:paraId="10D07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2C61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5441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260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54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93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A0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1B35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27142">
            <w:pPr>
              <w:jc w:val="center"/>
              <w:rPr>
                <w:rFonts w:hint="eastAsia" w:ascii="等线" w:hAnsi="等线" w:eastAsia="等线" w:cs="等线"/>
                <w:i w:val="0"/>
                <w:iCs w:val="0"/>
                <w:color w:val="auto"/>
                <w:sz w:val="22"/>
                <w:szCs w:val="22"/>
                <w:highlight w:val="none"/>
                <w:u w:val="none"/>
              </w:rPr>
            </w:pPr>
          </w:p>
        </w:tc>
      </w:tr>
      <w:tr w14:paraId="58A6E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4DC6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C3A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B8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人流手术室（2间）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12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EB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96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8F0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76564">
            <w:pPr>
              <w:jc w:val="center"/>
              <w:rPr>
                <w:rFonts w:hint="eastAsia" w:ascii="等线" w:hAnsi="等线" w:eastAsia="等线" w:cs="等线"/>
                <w:i w:val="0"/>
                <w:iCs w:val="0"/>
                <w:color w:val="auto"/>
                <w:sz w:val="22"/>
                <w:szCs w:val="22"/>
                <w:highlight w:val="none"/>
                <w:u w:val="none"/>
              </w:rPr>
            </w:pPr>
          </w:p>
        </w:tc>
      </w:tr>
      <w:tr w14:paraId="568B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3614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AC8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C78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0D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A5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A37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5CE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0A001">
            <w:pPr>
              <w:jc w:val="center"/>
              <w:rPr>
                <w:rFonts w:hint="eastAsia" w:ascii="等线" w:hAnsi="等线" w:eastAsia="等线" w:cs="等线"/>
                <w:i w:val="0"/>
                <w:iCs w:val="0"/>
                <w:color w:val="auto"/>
                <w:sz w:val="22"/>
                <w:szCs w:val="22"/>
                <w:highlight w:val="none"/>
                <w:u w:val="none"/>
              </w:rPr>
            </w:pPr>
          </w:p>
        </w:tc>
      </w:tr>
      <w:tr w14:paraId="62C08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F4C8">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5A0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67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93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DB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F1E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1D2C">
            <w:pPr>
              <w:jc w:val="center"/>
              <w:rPr>
                <w:rFonts w:hint="eastAsia" w:ascii="等线" w:hAnsi="等线" w:eastAsia="等线" w:cs="等线"/>
                <w:i w:val="0"/>
                <w:iCs w:val="0"/>
                <w:color w:val="auto"/>
                <w:sz w:val="22"/>
                <w:szCs w:val="22"/>
                <w:highlight w:val="none"/>
                <w:u w:val="none"/>
              </w:rPr>
            </w:pPr>
          </w:p>
        </w:tc>
      </w:tr>
      <w:tr w14:paraId="4DBC6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9BA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4F东弱电间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F8C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开放办公室1</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F7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0E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FC5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21</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C1E8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A7BF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增设2台24口交换机</w:t>
            </w:r>
          </w:p>
        </w:tc>
      </w:tr>
      <w:tr w14:paraId="75DD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BB6AC">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1DB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开放办公室2</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06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02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F75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D554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52A0">
            <w:pPr>
              <w:jc w:val="center"/>
              <w:rPr>
                <w:rFonts w:hint="eastAsia" w:ascii="等线" w:hAnsi="等线" w:eastAsia="等线" w:cs="等线"/>
                <w:i w:val="0"/>
                <w:iCs w:val="0"/>
                <w:color w:val="auto"/>
                <w:sz w:val="22"/>
                <w:szCs w:val="22"/>
                <w:highlight w:val="none"/>
                <w:u w:val="none"/>
              </w:rPr>
            </w:pPr>
          </w:p>
        </w:tc>
      </w:tr>
      <w:tr w14:paraId="15454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B3B41">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46A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院长办公室（4间）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0AD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261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55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40C4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800C9">
            <w:pPr>
              <w:jc w:val="center"/>
              <w:rPr>
                <w:rFonts w:hint="eastAsia" w:ascii="等线" w:hAnsi="等线" w:eastAsia="等线" w:cs="等线"/>
                <w:i w:val="0"/>
                <w:iCs w:val="0"/>
                <w:color w:val="auto"/>
                <w:sz w:val="22"/>
                <w:szCs w:val="22"/>
                <w:highlight w:val="none"/>
                <w:u w:val="none"/>
              </w:rPr>
            </w:pPr>
          </w:p>
        </w:tc>
      </w:tr>
      <w:tr w14:paraId="5BCE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C8C4C">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DFF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小会议室（2间）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11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4A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E8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721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32091">
            <w:pPr>
              <w:jc w:val="center"/>
              <w:rPr>
                <w:rFonts w:hint="eastAsia" w:ascii="等线" w:hAnsi="等线" w:eastAsia="等线" w:cs="等线"/>
                <w:i w:val="0"/>
                <w:iCs w:val="0"/>
                <w:color w:val="auto"/>
                <w:sz w:val="22"/>
                <w:szCs w:val="22"/>
                <w:highlight w:val="none"/>
                <w:u w:val="none"/>
              </w:rPr>
            </w:pPr>
          </w:p>
        </w:tc>
      </w:tr>
      <w:tr w14:paraId="48DB3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17E32">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nil"/>
              <w:right w:val="single" w:color="000000" w:sz="4" w:space="0"/>
            </w:tcBorders>
            <w:shd w:val="clear" w:color="auto" w:fill="auto"/>
            <w:vAlign w:val="center"/>
          </w:tcPr>
          <w:p w14:paraId="0365F6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大会议室</w:t>
            </w:r>
          </w:p>
        </w:tc>
        <w:tc>
          <w:tcPr>
            <w:tcW w:w="688" w:type="dxa"/>
            <w:tcBorders>
              <w:top w:val="single" w:color="000000" w:sz="4" w:space="0"/>
              <w:left w:val="single" w:color="000000" w:sz="4" w:space="0"/>
              <w:bottom w:val="nil"/>
              <w:right w:val="single" w:color="000000" w:sz="4" w:space="0"/>
            </w:tcBorders>
            <w:shd w:val="clear" w:color="auto" w:fill="auto"/>
            <w:noWrap/>
            <w:vAlign w:val="center"/>
          </w:tcPr>
          <w:p w14:paraId="4ABA5ED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679" w:type="dxa"/>
            <w:tcBorders>
              <w:top w:val="single" w:color="000000" w:sz="4" w:space="0"/>
              <w:left w:val="single" w:color="000000" w:sz="4" w:space="0"/>
              <w:bottom w:val="nil"/>
              <w:right w:val="single" w:color="000000" w:sz="4" w:space="0"/>
            </w:tcBorders>
            <w:shd w:val="clear" w:color="auto" w:fill="auto"/>
            <w:noWrap/>
            <w:vAlign w:val="center"/>
          </w:tcPr>
          <w:p w14:paraId="4434F0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nil"/>
              <w:right w:val="single" w:color="000000" w:sz="4" w:space="0"/>
            </w:tcBorders>
            <w:shd w:val="clear" w:color="auto" w:fill="auto"/>
            <w:noWrap/>
            <w:vAlign w:val="center"/>
          </w:tcPr>
          <w:p w14:paraId="42538A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940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86C0">
            <w:pPr>
              <w:jc w:val="center"/>
              <w:rPr>
                <w:rFonts w:hint="eastAsia" w:ascii="等线" w:hAnsi="等线" w:eastAsia="等线" w:cs="等线"/>
                <w:i w:val="0"/>
                <w:iCs w:val="0"/>
                <w:color w:val="auto"/>
                <w:sz w:val="22"/>
                <w:szCs w:val="22"/>
                <w:highlight w:val="none"/>
                <w:u w:val="none"/>
              </w:rPr>
            </w:pPr>
          </w:p>
        </w:tc>
      </w:tr>
      <w:tr w14:paraId="6F70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226D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门诊楼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4F西弱电间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3EA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走道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E383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A3B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3AA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6C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75A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原有6台电话网交换机，改为3台电话网、3台办公网，无需增设</w:t>
            </w:r>
          </w:p>
        </w:tc>
      </w:tr>
      <w:tr w14:paraId="01D1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2C036">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153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开放办公室1</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45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F3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DB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A7C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2C073">
            <w:pPr>
              <w:jc w:val="center"/>
              <w:rPr>
                <w:rFonts w:hint="eastAsia" w:ascii="等线" w:hAnsi="等线" w:eastAsia="等线" w:cs="等线"/>
                <w:i w:val="0"/>
                <w:iCs w:val="0"/>
                <w:color w:val="auto"/>
                <w:sz w:val="22"/>
                <w:szCs w:val="22"/>
                <w:highlight w:val="none"/>
                <w:u w:val="none"/>
              </w:rPr>
            </w:pPr>
          </w:p>
        </w:tc>
      </w:tr>
      <w:tr w14:paraId="261C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62D08">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9B2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DA7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6</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0D2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CB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980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58216">
            <w:pPr>
              <w:jc w:val="center"/>
              <w:rPr>
                <w:rFonts w:hint="eastAsia" w:ascii="等线" w:hAnsi="等线" w:eastAsia="等线" w:cs="等线"/>
                <w:i w:val="0"/>
                <w:iCs w:val="0"/>
                <w:color w:val="auto"/>
                <w:sz w:val="22"/>
                <w:szCs w:val="22"/>
                <w:highlight w:val="none"/>
                <w:u w:val="none"/>
              </w:rPr>
            </w:pPr>
          </w:p>
        </w:tc>
      </w:tr>
      <w:tr w14:paraId="3BA52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15E0E">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626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开放办公室2</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6E0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48</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387C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C8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189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DC937">
            <w:pPr>
              <w:jc w:val="center"/>
              <w:rPr>
                <w:rFonts w:hint="eastAsia" w:ascii="等线" w:hAnsi="等线" w:eastAsia="等线" w:cs="等线"/>
                <w:i w:val="0"/>
                <w:iCs w:val="0"/>
                <w:color w:val="auto"/>
                <w:sz w:val="22"/>
                <w:szCs w:val="22"/>
                <w:highlight w:val="none"/>
                <w:u w:val="none"/>
              </w:rPr>
            </w:pPr>
          </w:p>
        </w:tc>
      </w:tr>
      <w:tr w14:paraId="23CDE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49681">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514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D7F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AB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1F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3B6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4AC63">
            <w:pPr>
              <w:jc w:val="center"/>
              <w:rPr>
                <w:rFonts w:hint="eastAsia" w:ascii="等线" w:hAnsi="等线" w:eastAsia="等线" w:cs="等线"/>
                <w:i w:val="0"/>
                <w:iCs w:val="0"/>
                <w:color w:val="auto"/>
                <w:sz w:val="22"/>
                <w:szCs w:val="22"/>
                <w:highlight w:val="none"/>
                <w:u w:val="none"/>
              </w:rPr>
            </w:pPr>
          </w:p>
        </w:tc>
      </w:tr>
      <w:tr w14:paraId="7731F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1450C">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BAF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病案阅览室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EF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20</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ED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93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B92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3D716">
            <w:pPr>
              <w:jc w:val="center"/>
              <w:rPr>
                <w:rFonts w:hint="eastAsia" w:ascii="等线" w:hAnsi="等线" w:eastAsia="等线" w:cs="等线"/>
                <w:i w:val="0"/>
                <w:iCs w:val="0"/>
                <w:color w:val="auto"/>
                <w:sz w:val="22"/>
                <w:szCs w:val="22"/>
                <w:highlight w:val="none"/>
                <w:u w:val="none"/>
              </w:rPr>
            </w:pPr>
          </w:p>
        </w:tc>
      </w:tr>
      <w:tr w14:paraId="5B9EB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FA5CD">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244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信息机房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52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116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5CE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951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F06B2">
            <w:pPr>
              <w:jc w:val="center"/>
              <w:rPr>
                <w:rFonts w:hint="eastAsia" w:ascii="等线" w:hAnsi="等线" w:eastAsia="等线" w:cs="等线"/>
                <w:i w:val="0"/>
                <w:iCs w:val="0"/>
                <w:color w:val="auto"/>
                <w:sz w:val="22"/>
                <w:szCs w:val="22"/>
                <w:highlight w:val="none"/>
                <w:u w:val="none"/>
              </w:rPr>
            </w:pPr>
          </w:p>
        </w:tc>
      </w:tr>
      <w:tr w14:paraId="53AA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65D4">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9E03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C3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B12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1E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F25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4D0B1">
            <w:pPr>
              <w:jc w:val="center"/>
              <w:rPr>
                <w:rFonts w:hint="eastAsia" w:ascii="等线" w:hAnsi="等线" w:eastAsia="等线" w:cs="等线"/>
                <w:i w:val="0"/>
                <w:iCs w:val="0"/>
                <w:color w:val="auto"/>
                <w:sz w:val="22"/>
                <w:szCs w:val="22"/>
                <w:highlight w:val="none"/>
                <w:u w:val="none"/>
              </w:rPr>
            </w:pPr>
          </w:p>
        </w:tc>
      </w:tr>
      <w:tr w14:paraId="4E812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3C605E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1F弱电间</w:t>
            </w:r>
          </w:p>
        </w:tc>
        <w:tc>
          <w:tcPr>
            <w:tcW w:w="894" w:type="dxa"/>
            <w:vMerge w:val="restart"/>
            <w:tcBorders>
              <w:top w:val="single" w:color="000000" w:sz="4" w:space="0"/>
              <w:left w:val="single" w:color="000000" w:sz="4" w:space="0"/>
              <w:bottom w:val="nil"/>
              <w:right w:val="single" w:color="000000" w:sz="4" w:space="0"/>
            </w:tcBorders>
            <w:shd w:val="clear" w:color="auto" w:fill="auto"/>
            <w:noWrap/>
            <w:vAlign w:val="center"/>
          </w:tcPr>
          <w:p w14:paraId="4D038D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放射科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61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3C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F6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E2B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654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C794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4C4FF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140267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320E05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554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PACS机房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5C3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1C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14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A2A6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83FA2">
            <w:pPr>
              <w:jc w:val="center"/>
              <w:rPr>
                <w:rFonts w:hint="eastAsia" w:ascii="等线" w:hAnsi="等线" w:eastAsia="等线" w:cs="等线"/>
                <w:i w:val="0"/>
                <w:iCs w:val="0"/>
                <w:color w:val="auto"/>
                <w:sz w:val="22"/>
                <w:szCs w:val="22"/>
                <w:highlight w:val="none"/>
                <w:u w:val="none"/>
              </w:rPr>
            </w:pPr>
          </w:p>
        </w:tc>
      </w:tr>
      <w:tr w14:paraId="25EA5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963D8D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1BC888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41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50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15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36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2B6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AFACC">
            <w:pPr>
              <w:jc w:val="center"/>
              <w:rPr>
                <w:rFonts w:hint="eastAsia" w:ascii="等线" w:hAnsi="等线" w:eastAsia="等线" w:cs="等线"/>
                <w:i w:val="0"/>
                <w:iCs w:val="0"/>
                <w:color w:val="auto"/>
                <w:sz w:val="22"/>
                <w:szCs w:val="22"/>
                <w:highlight w:val="none"/>
                <w:u w:val="none"/>
              </w:rPr>
            </w:pPr>
          </w:p>
        </w:tc>
      </w:tr>
      <w:tr w14:paraId="4AB4B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82118E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07F73F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8B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7785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6B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10D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CD76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F61B">
            <w:pPr>
              <w:jc w:val="center"/>
              <w:rPr>
                <w:rFonts w:hint="eastAsia" w:ascii="等线" w:hAnsi="等线" w:eastAsia="等线" w:cs="等线"/>
                <w:i w:val="0"/>
                <w:iCs w:val="0"/>
                <w:color w:val="auto"/>
                <w:sz w:val="22"/>
                <w:szCs w:val="22"/>
                <w:highlight w:val="none"/>
                <w:u w:val="none"/>
              </w:rPr>
            </w:pPr>
          </w:p>
        </w:tc>
      </w:tr>
      <w:tr w14:paraId="7FFF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B82044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9E1D66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1C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DR控制室（5间）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9175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B8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71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F333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3CF61">
            <w:pPr>
              <w:jc w:val="center"/>
              <w:rPr>
                <w:rFonts w:hint="eastAsia" w:ascii="等线" w:hAnsi="等线" w:eastAsia="等线" w:cs="等线"/>
                <w:i w:val="0"/>
                <w:iCs w:val="0"/>
                <w:color w:val="auto"/>
                <w:sz w:val="22"/>
                <w:szCs w:val="22"/>
                <w:highlight w:val="none"/>
                <w:u w:val="none"/>
              </w:rPr>
            </w:pPr>
          </w:p>
        </w:tc>
      </w:tr>
      <w:tr w14:paraId="4A6F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AD2185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C55479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B0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胃肠机控制室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3AE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98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4120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360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EB051">
            <w:pPr>
              <w:jc w:val="center"/>
              <w:rPr>
                <w:rFonts w:hint="eastAsia" w:ascii="等线" w:hAnsi="等线" w:eastAsia="等线" w:cs="等线"/>
                <w:i w:val="0"/>
                <w:iCs w:val="0"/>
                <w:color w:val="auto"/>
                <w:sz w:val="22"/>
                <w:szCs w:val="22"/>
                <w:highlight w:val="none"/>
                <w:u w:val="none"/>
              </w:rPr>
            </w:pPr>
          </w:p>
        </w:tc>
      </w:tr>
      <w:tr w14:paraId="015C5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E5BB06B">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02C0B5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87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钼靶控制室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AB4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61B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43D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6602">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DB7D8">
            <w:pPr>
              <w:jc w:val="center"/>
              <w:rPr>
                <w:rFonts w:hint="eastAsia" w:ascii="等线" w:hAnsi="等线" w:eastAsia="等线" w:cs="等线"/>
                <w:i w:val="0"/>
                <w:iCs w:val="0"/>
                <w:color w:val="auto"/>
                <w:sz w:val="22"/>
                <w:szCs w:val="22"/>
                <w:highlight w:val="none"/>
                <w:u w:val="none"/>
              </w:rPr>
            </w:pPr>
          </w:p>
        </w:tc>
      </w:tr>
      <w:tr w14:paraId="03F1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115E23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84710A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359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CT控制室（2间）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1BF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59C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3A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9E7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A40E">
            <w:pPr>
              <w:jc w:val="center"/>
              <w:rPr>
                <w:rFonts w:hint="eastAsia" w:ascii="等线" w:hAnsi="等线" w:eastAsia="等线" w:cs="等线"/>
                <w:i w:val="0"/>
                <w:iCs w:val="0"/>
                <w:color w:val="auto"/>
                <w:sz w:val="22"/>
                <w:szCs w:val="22"/>
                <w:highlight w:val="none"/>
                <w:u w:val="none"/>
              </w:rPr>
            </w:pPr>
          </w:p>
        </w:tc>
      </w:tr>
      <w:tr w14:paraId="79847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CCA659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984C05E">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547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MR控制室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D64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D9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A3E8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13A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1BC6D">
            <w:pPr>
              <w:jc w:val="center"/>
              <w:rPr>
                <w:rFonts w:hint="eastAsia" w:ascii="等线" w:hAnsi="等线" w:eastAsia="等线" w:cs="等线"/>
                <w:i w:val="0"/>
                <w:iCs w:val="0"/>
                <w:color w:val="auto"/>
                <w:sz w:val="22"/>
                <w:szCs w:val="22"/>
                <w:highlight w:val="none"/>
                <w:u w:val="none"/>
              </w:rPr>
            </w:pPr>
          </w:p>
        </w:tc>
      </w:tr>
      <w:tr w14:paraId="0A1BE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378529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743613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C12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BC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02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FE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7EC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FDD64">
            <w:pPr>
              <w:jc w:val="center"/>
              <w:rPr>
                <w:rFonts w:hint="eastAsia" w:ascii="等线" w:hAnsi="等线" w:eastAsia="等线" w:cs="等线"/>
                <w:i w:val="0"/>
                <w:iCs w:val="0"/>
                <w:color w:val="auto"/>
                <w:sz w:val="22"/>
                <w:szCs w:val="22"/>
                <w:highlight w:val="none"/>
                <w:u w:val="none"/>
              </w:rPr>
            </w:pPr>
          </w:p>
        </w:tc>
      </w:tr>
      <w:tr w14:paraId="5554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00F2F4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A58D6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64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通道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BA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44B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AD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7B6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88080">
            <w:pPr>
              <w:jc w:val="center"/>
              <w:rPr>
                <w:rFonts w:hint="eastAsia" w:ascii="等线" w:hAnsi="等线" w:eastAsia="等线" w:cs="等线"/>
                <w:i w:val="0"/>
                <w:iCs w:val="0"/>
                <w:color w:val="auto"/>
                <w:sz w:val="22"/>
                <w:szCs w:val="22"/>
                <w:highlight w:val="none"/>
                <w:u w:val="none"/>
              </w:rPr>
            </w:pPr>
          </w:p>
        </w:tc>
      </w:tr>
      <w:tr w14:paraId="50B7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AD5897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D0B0DD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5DC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F3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19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86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0B9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612D9">
            <w:pPr>
              <w:jc w:val="center"/>
              <w:rPr>
                <w:rFonts w:hint="eastAsia" w:ascii="等线" w:hAnsi="等线" w:eastAsia="等线" w:cs="等线"/>
                <w:i w:val="0"/>
                <w:iCs w:val="0"/>
                <w:color w:val="auto"/>
                <w:sz w:val="22"/>
                <w:szCs w:val="22"/>
                <w:highlight w:val="none"/>
                <w:u w:val="none"/>
              </w:rPr>
            </w:pPr>
          </w:p>
        </w:tc>
      </w:tr>
      <w:tr w14:paraId="0F0E3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B4FE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2F弱电间</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01E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病理中心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301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免疫组化室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FB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5BDD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F7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56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6FC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4E7F4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A594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DE6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FF2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报告、拨片、染色、封片、包埋、切片、取材、脱水室（5间）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B3E1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D49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0B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E27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C8D0">
            <w:pPr>
              <w:jc w:val="center"/>
              <w:rPr>
                <w:rFonts w:hint="eastAsia" w:ascii="等线" w:hAnsi="等线" w:eastAsia="等线" w:cs="等线"/>
                <w:i w:val="0"/>
                <w:iCs w:val="0"/>
                <w:color w:val="auto"/>
                <w:sz w:val="22"/>
                <w:szCs w:val="22"/>
                <w:highlight w:val="none"/>
                <w:u w:val="none"/>
              </w:rPr>
            </w:pPr>
          </w:p>
        </w:tc>
      </w:tr>
      <w:tr w14:paraId="181F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A7E5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52D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FC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标本接收室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E1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06D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3D5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350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F77D9">
            <w:pPr>
              <w:jc w:val="center"/>
              <w:rPr>
                <w:rFonts w:hint="eastAsia" w:ascii="等线" w:hAnsi="等线" w:eastAsia="等线" w:cs="等线"/>
                <w:i w:val="0"/>
                <w:iCs w:val="0"/>
                <w:color w:val="auto"/>
                <w:sz w:val="22"/>
                <w:szCs w:val="22"/>
                <w:highlight w:val="none"/>
                <w:u w:val="none"/>
              </w:rPr>
            </w:pPr>
          </w:p>
        </w:tc>
      </w:tr>
      <w:tr w14:paraId="253F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D4D70">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0F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内镜中心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1F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肠镜、胃镜、腹腔镜、喉镜、支纤镜（5间）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ABC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26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5F5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3C0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410BA">
            <w:pPr>
              <w:jc w:val="center"/>
              <w:rPr>
                <w:rFonts w:hint="eastAsia" w:ascii="等线" w:hAnsi="等线" w:eastAsia="等线" w:cs="等线"/>
                <w:i w:val="0"/>
                <w:iCs w:val="0"/>
                <w:color w:val="auto"/>
                <w:sz w:val="22"/>
                <w:szCs w:val="22"/>
                <w:highlight w:val="none"/>
                <w:u w:val="none"/>
              </w:rPr>
            </w:pPr>
          </w:p>
        </w:tc>
      </w:tr>
      <w:tr w14:paraId="1A56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6531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7F3F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B03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280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58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01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67A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3F6A9">
            <w:pPr>
              <w:jc w:val="center"/>
              <w:rPr>
                <w:rFonts w:hint="eastAsia" w:ascii="等线" w:hAnsi="等线" w:eastAsia="等线" w:cs="等线"/>
                <w:i w:val="0"/>
                <w:iCs w:val="0"/>
                <w:color w:val="auto"/>
                <w:sz w:val="22"/>
                <w:szCs w:val="22"/>
                <w:highlight w:val="none"/>
                <w:u w:val="none"/>
              </w:rPr>
            </w:pPr>
          </w:p>
        </w:tc>
      </w:tr>
      <w:tr w14:paraId="2021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4AF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848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D84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3F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386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6C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DB8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41524">
            <w:pPr>
              <w:jc w:val="center"/>
              <w:rPr>
                <w:rFonts w:hint="eastAsia" w:ascii="等线" w:hAnsi="等线" w:eastAsia="等线" w:cs="等线"/>
                <w:i w:val="0"/>
                <w:iCs w:val="0"/>
                <w:color w:val="auto"/>
                <w:sz w:val="22"/>
                <w:szCs w:val="22"/>
                <w:highlight w:val="none"/>
                <w:u w:val="none"/>
              </w:rPr>
            </w:pPr>
          </w:p>
        </w:tc>
      </w:tr>
      <w:tr w14:paraId="7C0DC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6D02B">
            <w:pPr>
              <w:jc w:val="center"/>
              <w:rPr>
                <w:rFonts w:hint="eastAsia" w:ascii="等线" w:hAnsi="等线" w:eastAsia="等线" w:cs="等线"/>
                <w:i w:val="0"/>
                <w:iCs w:val="0"/>
                <w:color w:val="auto"/>
                <w:sz w:val="22"/>
                <w:szCs w:val="22"/>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EF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检验科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E584">
            <w:pPr>
              <w:rPr>
                <w:rFonts w:hint="eastAsia" w:ascii="等线" w:hAnsi="等线" w:eastAsia="等线" w:cs="等线"/>
                <w:i w:val="0"/>
                <w:iCs w:val="0"/>
                <w:color w:val="auto"/>
                <w:sz w:val="22"/>
                <w:szCs w:val="22"/>
                <w:highlight w:val="none"/>
                <w:u w:val="none"/>
              </w:rPr>
            </w:pPr>
          </w:p>
        </w:tc>
        <w:tc>
          <w:tcPr>
            <w:tcW w:w="2136" w:type="dxa"/>
            <w:gridSpan w:val="3"/>
            <w:tcBorders>
              <w:top w:val="single" w:color="000000" w:sz="4" w:space="0"/>
              <w:left w:val="single" w:color="000000" w:sz="4" w:space="0"/>
              <w:bottom w:val="single" w:color="000000" w:sz="4" w:space="0"/>
              <w:right w:val="nil"/>
            </w:tcBorders>
            <w:shd w:val="clear" w:color="auto" w:fill="auto"/>
            <w:vAlign w:val="center"/>
          </w:tcPr>
          <w:p w14:paraId="6CD8F68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099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5088D">
            <w:pPr>
              <w:jc w:val="center"/>
              <w:rPr>
                <w:rFonts w:hint="eastAsia" w:ascii="等线" w:hAnsi="等线" w:eastAsia="等线" w:cs="等线"/>
                <w:i w:val="0"/>
                <w:iCs w:val="0"/>
                <w:color w:val="auto"/>
                <w:sz w:val="22"/>
                <w:szCs w:val="22"/>
                <w:highlight w:val="none"/>
                <w:u w:val="none"/>
              </w:rPr>
            </w:pPr>
          </w:p>
        </w:tc>
      </w:tr>
      <w:tr w14:paraId="29662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4C4B2">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582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功能检查科、超声检查</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B2E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心电图、动态心电、脑电图、骨密度（4间）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52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DF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8A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3729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7B6CA">
            <w:pPr>
              <w:jc w:val="center"/>
              <w:rPr>
                <w:rFonts w:hint="eastAsia" w:ascii="等线" w:hAnsi="等线" w:eastAsia="等线" w:cs="等线"/>
                <w:i w:val="0"/>
                <w:iCs w:val="0"/>
                <w:color w:val="auto"/>
                <w:sz w:val="22"/>
                <w:szCs w:val="22"/>
                <w:highlight w:val="none"/>
                <w:u w:val="none"/>
              </w:rPr>
            </w:pPr>
          </w:p>
        </w:tc>
      </w:tr>
      <w:tr w14:paraId="5F638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9EC8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5D9D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97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电生理、基础代谢、TCD、肺功能（4间）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6AA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D67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7C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577B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B8B08">
            <w:pPr>
              <w:jc w:val="center"/>
              <w:rPr>
                <w:rFonts w:hint="eastAsia" w:ascii="等线" w:hAnsi="等线" w:eastAsia="等线" w:cs="等线"/>
                <w:i w:val="0"/>
                <w:iCs w:val="0"/>
                <w:color w:val="auto"/>
                <w:sz w:val="22"/>
                <w:szCs w:val="22"/>
                <w:highlight w:val="none"/>
                <w:u w:val="none"/>
              </w:rPr>
            </w:pPr>
          </w:p>
        </w:tc>
      </w:tr>
      <w:tr w14:paraId="477A8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CE9C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A6F5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32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3B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633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615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2DC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9878">
            <w:pPr>
              <w:jc w:val="center"/>
              <w:rPr>
                <w:rFonts w:hint="eastAsia" w:ascii="等线" w:hAnsi="等线" w:eastAsia="等线" w:cs="等线"/>
                <w:i w:val="0"/>
                <w:iCs w:val="0"/>
                <w:color w:val="auto"/>
                <w:sz w:val="22"/>
                <w:szCs w:val="22"/>
                <w:highlight w:val="none"/>
                <w:u w:val="none"/>
              </w:rPr>
            </w:pPr>
          </w:p>
        </w:tc>
      </w:tr>
      <w:tr w14:paraId="64E36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956B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9720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31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1B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313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9D47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AC7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6135E">
            <w:pPr>
              <w:jc w:val="center"/>
              <w:rPr>
                <w:rFonts w:hint="eastAsia" w:ascii="等线" w:hAnsi="等线" w:eastAsia="等线" w:cs="等线"/>
                <w:i w:val="0"/>
                <w:iCs w:val="0"/>
                <w:color w:val="auto"/>
                <w:sz w:val="22"/>
                <w:szCs w:val="22"/>
                <w:highlight w:val="none"/>
                <w:u w:val="none"/>
              </w:rPr>
            </w:pPr>
          </w:p>
        </w:tc>
      </w:tr>
      <w:tr w14:paraId="40DAF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F4133">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6011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1B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B超室（7间）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0D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75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1A2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E77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4DA83">
            <w:pPr>
              <w:jc w:val="center"/>
              <w:rPr>
                <w:rFonts w:hint="eastAsia" w:ascii="等线" w:hAnsi="等线" w:eastAsia="等线" w:cs="等线"/>
                <w:i w:val="0"/>
                <w:iCs w:val="0"/>
                <w:color w:val="auto"/>
                <w:sz w:val="22"/>
                <w:szCs w:val="22"/>
                <w:highlight w:val="none"/>
                <w:u w:val="none"/>
              </w:rPr>
            </w:pPr>
          </w:p>
        </w:tc>
      </w:tr>
      <w:tr w14:paraId="0D0B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22C9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60C2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63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AC7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04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EC6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A65F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6AED3">
            <w:pPr>
              <w:jc w:val="center"/>
              <w:rPr>
                <w:rFonts w:hint="eastAsia" w:ascii="等线" w:hAnsi="等线" w:eastAsia="等线" w:cs="等线"/>
                <w:i w:val="0"/>
                <w:iCs w:val="0"/>
                <w:color w:val="auto"/>
                <w:sz w:val="22"/>
                <w:szCs w:val="22"/>
                <w:highlight w:val="none"/>
                <w:u w:val="none"/>
              </w:rPr>
            </w:pPr>
          </w:p>
        </w:tc>
      </w:tr>
      <w:tr w14:paraId="74CE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73D31C9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医技楼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956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ICU</w:t>
            </w:r>
          </w:p>
        </w:tc>
        <w:tc>
          <w:tcPr>
            <w:tcW w:w="21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82BD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F167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923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01FD5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2DEEEB2">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F37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手术部</w:t>
            </w:r>
          </w:p>
        </w:tc>
        <w:tc>
          <w:tcPr>
            <w:tcW w:w="21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5478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14E9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43A01">
            <w:pPr>
              <w:jc w:val="center"/>
              <w:rPr>
                <w:rFonts w:hint="eastAsia" w:ascii="等线" w:hAnsi="等线" w:eastAsia="等线" w:cs="等线"/>
                <w:i w:val="0"/>
                <w:iCs w:val="0"/>
                <w:color w:val="auto"/>
                <w:sz w:val="22"/>
                <w:szCs w:val="22"/>
                <w:highlight w:val="none"/>
                <w:u w:val="none"/>
              </w:rPr>
            </w:pPr>
          </w:p>
        </w:tc>
      </w:tr>
      <w:tr w14:paraId="5B2DC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2FA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1F弱电间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B11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供应室</w:t>
            </w:r>
          </w:p>
        </w:tc>
        <w:tc>
          <w:tcPr>
            <w:tcW w:w="2136" w:type="dxa"/>
            <w:gridSpan w:val="3"/>
            <w:tcBorders>
              <w:top w:val="single" w:color="000000" w:sz="4" w:space="0"/>
              <w:left w:val="single" w:color="000000" w:sz="4" w:space="0"/>
              <w:bottom w:val="single" w:color="000000" w:sz="4" w:space="0"/>
              <w:right w:val="nil"/>
            </w:tcBorders>
            <w:shd w:val="clear" w:color="auto" w:fill="auto"/>
            <w:vAlign w:val="center"/>
          </w:tcPr>
          <w:p w14:paraId="2B185E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医疗专项已做内外网物理隔离</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7513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E16B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11200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3A7D2">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A76E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餐厅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F541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457C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FD9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1D2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C55F0">
            <w:pPr>
              <w:jc w:val="center"/>
              <w:rPr>
                <w:rFonts w:hint="eastAsia" w:ascii="等线" w:hAnsi="等线" w:eastAsia="等线" w:cs="等线"/>
                <w:i w:val="0"/>
                <w:iCs w:val="0"/>
                <w:color w:val="auto"/>
                <w:sz w:val="22"/>
                <w:szCs w:val="22"/>
                <w:highlight w:val="none"/>
                <w:u w:val="none"/>
              </w:rPr>
            </w:pPr>
          </w:p>
        </w:tc>
      </w:tr>
      <w:tr w14:paraId="33DA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33186">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D6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消防控制室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909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82D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AFF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6587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B2E98">
            <w:pPr>
              <w:jc w:val="center"/>
              <w:rPr>
                <w:rFonts w:hint="eastAsia" w:ascii="等线" w:hAnsi="等线" w:eastAsia="等线" w:cs="等线"/>
                <w:i w:val="0"/>
                <w:iCs w:val="0"/>
                <w:color w:val="auto"/>
                <w:sz w:val="22"/>
                <w:szCs w:val="22"/>
                <w:highlight w:val="none"/>
                <w:u w:val="none"/>
              </w:rPr>
            </w:pPr>
          </w:p>
        </w:tc>
      </w:tr>
      <w:tr w14:paraId="3FA0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3A15">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45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住院大堂</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21F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F74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60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A346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54D9F">
            <w:pPr>
              <w:jc w:val="center"/>
              <w:rPr>
                <w:rFonts w:hint="eastAsia" w:ascii="等线" w:hAnsi="等线" w:eastAsia="等线" w:cs="等线"/>
                <w:i w:val="0"/>
                <w:iCs w:val="0"/>
                <w:color w:val="auto"/>
                <w:sz w:val="22"/>
                <w:szCs w:val="22"/>
                <w:highlight w:val="none"/>
                <w:u w:val="none"/>
              </w:rPr>
            </w:pPr>
          </w:p>
        </w:tc>
      </w:tr>
      <w:tr w14:paraId="267A2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A7B7B">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466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出入院窗口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C6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A8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C2F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49E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51CAC">
            <w:pPr>
              <w:jc w:val="center"/>
              <w:rPr>
                <w:rFonts w:hint="eastAsia" w:ascii="等线" w:hAnsi="等线" w:eastAsia="等线" w:cs="等线"/>
                <w:i w:val="0"/>
                <w:iCs w:val="0"/>
                <w:color w:val="auto"/>
                <w:sz w:val="22"/>
                <w:szCs w:val="22"/>
                <w:highlight w:val="none"/>
                <w:u w:val="none"/>
              </w:rPr>
            </w:pPr>
          </w:p>
        </w:tc>
      </w:tr>
      <w:tr w14:paraId="7F75A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2CA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2F弱电间</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33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体检中心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BD1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等候区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3E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367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D8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C8F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33A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增设1台24口交换机</w:t>
            </w:r>
          </w:p>
        </w:tc>
      </w:tr>
      <w:tr w14:paraId="2C772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2283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A732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48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挂号收费窗口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D6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3A65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AD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ECC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F58B1">
            <w:pPr>
              <w:jc w:val="center"/>
              <w:rPr>
                <w:rFonts w:hint="eastAsia" w:ascii="等线" w:hAnsi="等线" w:eastAsia="等线" w:cs="等线"/>
                <w:i w:val="0"/>
                <w:iCs w:val="0"/>
                <w:color w:val="auto"/>
                <w:sz w:val="22"/>
                <w:szCs w:val="22"/>
                <w:highlight w:val="none"/>
                <w:u w:val="none"/>
              </w:rPr>
            </w:pPr>
          </w:p>
        </w:tc>
      </w:tr>
      <w:tr w14:paraId="4DA3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CE7E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0FF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98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内科</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3C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80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28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C5AB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44A5A">
            <w:pPr>
              <w:jc w:val="center"/>
              <w:rPr>
                <w:rFonts w:hint="eastAsia" w:ascii="等线" w:hAnsi="等线" w:eastAsia="等线" w:cs="等线"/>
                <w:i w:val="0"/>
                <w:iCs w:val="0"/>
                <w:color w:val="auto"/>
                <w:sz w:val="22"/>
                <w:szCs w:val="22"/>
                <w:highlight w:val="none"/>
                <w:u w:val="none"/>
              </w:rPr>
            </w:pPr>
          </w:p>
        </w:tc>
      </w:tr>
      <w:tr w14:paraId="0F881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F2235">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FFA9D">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3AE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外科</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276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1E7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78C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DF9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BCC91">
            <w:pPr>
              <w:jc w:val="center"/>
              <w:rPr>
                <w:rFonts w:hint="eastAsia" w:ascii="等线" w:hAnsi="等线" w:eastAsia="等线" w:cs="等线"/>
                <w:i w:val="0"/>
                <w:iCs w:val="0"/>
                <w:color w:val="auto"/>
                <w:sz w:val="22"/>
                <w:szCs w:val="22"/>
                <w:highlight w:val="none"/>
                <w:u w:val="none"/>
              </w:rPr>
            </w:pPr>
          </w:p>
        </w:tc>
      </w:tr>
      <w:tr w14:paraId="26F5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BC55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A49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C8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眼科</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B21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3C1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722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428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BB9F5">
            <w:pPr>
              <w:jc w:val="center"/>
              <w:rPr>
                <w:rFonts w:hint="eastAsia" w:ascii="等线" w:hAnsi="等线" w:eastAsia="等线" w:cs="等线"/>
                <w:i w:val="0"/>
                <w:iCs w:val="0"/>
                <w:color w:val="auto"/>
                <w:sz w:val="22"/>
                <w:szCs w:val="22"/>
                <w:highlight w:val="none"/>
                <w:u w:val="none"/>
              </w:rPr>
            </w:pPr>
          </w:p>
        </w:tc>
      </w:tr>
      <w:tr w14:paraId="2EFC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AC39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8F6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AC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耳鼻喉</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A3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6A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DC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612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2E4A7">
            <w:pPr>
              <w:jc w:val="center"/>
              <w:rPr>
                <w:rFonts w:hint="eastAsia" w:ascii="等线" w:hAnsi="等线" w:eastAsia="等线" w:cs="等线"/>
                <w:i w:val="0"/>
                <w:iCs w:val="0"/>
                <w:color w:val="auto"/>
                <w:sz w:val="22"/>
                <w:szCs w:val="22"/>
                <w:highlight w:val="none"/>
                <w:u w:val="none"/>
              </w:rPr>
            </w:pPr>
          </w:p>
        </w:tc>
      </w:tr>
      <w:tr w14:paraId="6ADB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9B10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1F5B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C3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妇科</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E0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AA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BF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89D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9D0B4">
            <w:pPr>
              <w:jc w:val="center"/>
              <w:rPr>
                <w:rFonts w:hint="eastAsia" w:ascii="等线" w:hAnsi="等线" w:eastAsia="等线" w:cs="等线"/>
                <w:i w:val="0"/>
                <w:iCs w:val="0"/>
                <w:color w:val="auto"/>
                <w:sz w:val="22"/>
                <w:szCs w:val="22"/>
                <w:highlight w:val="none"/>
                <w:u w:val="none"/>
              </w:rPr>
            </w:pPr>
          </w:p>
        </w:tc>
      </w:tr>
      <w:tr w14:paraId="37C36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BC8D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D32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15D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心电</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E53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9A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8AF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46D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A8F1F">
            <w:pPr>
              <w:jc w:val="center"/>
              <w:rPr>
                <w:rFonts w:hint="eastAsia" w:ascii="等线" w:hAnsi="等线" w:eastAsia="等线" w:cs="等线"/>
                <w:i w:val="0"/>
                <w:iCs w:val="0"/>
                <w:color w:val="auto"/>
                <w:sz w:val="22"/>
                <w:szCs w:val="22"/>
                <w:highlight w:val="none"/>
                <w:u w:val="none"/>
              </w:rPr>
            </w:pPr>
          </w:p>
        </w:tc>
      </w:tr>
      <w:tr w14:paraId="6E7D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AB17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7F8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7E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脑电图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593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38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CBB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B5C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732FB">
            <w:pPr>
              <w:jc w:val="center"/>
              <w:rPr>
                <w:rFonts w:hint="eastAsia" w:ascii="等线" w:hAnsi="等线" w:eastAsia="等线" w:cs="等线"/>
                <w:i w:val="0"/>
                <w:iCs w:val="0"/>
                <w:color w:val="auto"/>
                <w:sz w:val="22"/>
                <w:szCs w:val="22"/>
                <w:highlight w:val="none"/>
                <w:u w:val="none"/>
              </w:rPr>
            </w:pPr>
          </w:p>
        </w:tc>
      </w:tr>
      <w:tr w14:paraId="08F75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A78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AC0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439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B超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707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FE98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47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CDC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61C8A">
            <w:pPr>
              <w:jc w:val="center"/>
              <w:rPr>
                <w:rFonts w:hint="eastAsia" w:ascii="等线" w:hAnsi="等线" w:eastAsia="等线" w:cs="等线"/>
                <w:i w:val="0"/>
                <w:iCs w:val="0"/>
                <w:color w:val="auto"/>
                <w:sz w:val="22"/>
                <w:szCs w:val="22"/>
                <w:highlight w:val="none"/>
                <w:u w:val="none"/>
              </w:rPr>
            </w:pPr>
          </w:p>
        </w:tc>
      </w:tr>
      <w:tr w14:paraId="37A4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9BDB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881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D7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彩超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582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46D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DF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84E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5AC3A">
            <w:pPr>
              <w:jc w:val="center"/>
              <w:rPr>
                <w:rFonts w:hint="eastAsia" w:ascii="等线" w:hAnsi="等线" w:eastAsia="等线" w:cs="等线"/>
                <w:i w:val="0"/>
                <w:iCs w:val="0"/>
                <w:color w:val="auto"/>
                <w:sz w:val="22"/>
                <w:szCs w:val="22"/>
                <w:highlight w:val="none"/>
                <w:u w:val="none"/>
              </w:rPr>
            </w:pPr>
          </w:p>
        </w:tc>
      </w:tr>
      <w:tr w14:paraId="6734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FDD4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2D05">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65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VIP接待室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AD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E05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9F5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727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24F32">
            <w:pPr>
              <w:jc w:val="center"/>
              <w:rPr>
                <w:rFonts w:hint="eastAsia" w:ascii="等线" w:hAnsi="等线" w:eastAsia="等线" w:cs="等线"/>
                <w:i w:val="0"/>
                <w:iCs w:val="0"/>
                <w:color w:val="auto"/>
                <w:sz w:val="22"/>
                <w:szCs w:val="22"/>
                <w:highlight w:val="none"/>
                <w:u w:val="none"/>
              </w:rPr>
            </w:pPr>
          </w:p>
        </w:tc>
      </w:tr>
      <w:tr w14:paraId="036A9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42DA2">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F4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康复理疗科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2DD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登记护士站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5FA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9E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CD3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37C8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91DB2">
            <w:pPr>
              <w:jc w:val="center"/>
              <w:rPr>
                <w:rFonts w:hint="eastAsia" w:ascii="等线" w:hAnsi="等线" w:eastAsia="等线" w:cs="等线"/>
                <w:i w:val="0"/>
                <w:iCs w:val="0"/>
                <w:color w:val="auto"/>
                <w:sz w:val="22"/>
                <w:szCs w:val="22"/>
                <w:highlight w:val="none"/>
                <w:u w:val="none"/>
              </w:rPr>
            </w:pPr>
          </w:p>
        </w:tc>
      </w:tr>
      <w:tr w14:paraId="13553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14A4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053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34A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医生办公室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DCF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E61B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C043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7C0D">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DBD1C">
            <w:pPr>
              <w:jc w:val="center"/>
              <w:rPr>
                <w:rFonts w:hint="eastAsia" w:ascii="等线" w:hAnsi="等线" w:eastAsia="等线" w:cs="等线"/>
                <w:i w:val="0"/>
                <w:iCs w:val="0"/>
                <w:color w:val="auto"/>
                <w:sz w:val="22"/>
                <w:szCs w:val="22"/>
                <w:highlight w:val="none"/>
                <w:u w:val="none"/>
              </w:rPr>
            </w:pPr>
          </w:p>
        </w:tc>
      </w:tr>
      <w:tr w14:paraId="19DFF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AAD3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230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65A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康复训练</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C593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1ED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055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DA8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8A944">
            <w:pPr>
              <w:jc w:val="center"/>
              <w:rPr>
                <w:rFonts w:hint="eastAsia" w:ascii="等线" w:hAnsi="等线" w:eastAsia="等线" w:cs="等线"/>
                <w:i w:val="0"/>
                <w:iCs w:val="0"/>
                <w:color w:val="auto"/>
                <w:sz w:val="22"/>
                <w:szCs w:val="22"/>
                <w:highlight w:val="none"/>
                <w:u w:val="none"/>
              </w:rPr>
            </w:pPr>
          </w:p>
        </w:tc>
      </w:tr>
      <w:tr w14:paraId="48740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39BB9">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CB0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FE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医护餐厅</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E20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F1D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91F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A8D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6D055">
            <w:pPr>
              <w:jc w:val="center"/>
              <w:rPr>
                <w:rFonts w:hint="eastAsia" w:ascii="等线" w:hAnsi="等线" w:eastAsia="等线" w:cs="等线"/>
                <w:i w:val="0"/>
                <w:iCs w:val="0"/>
                <w:color w:val="auto"/>
                <w:sz w:val="22"/>
                <w:szCs w:val="22"/>
                <w:highlight w:val="none"/>
                <w:u w:val="none"/>
              </w:rPr>
            </w:pPr>
          </w:p>
        </w:tc>
      </w:tr>
      <w:tr w14:paraId="63303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F8B5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837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CCC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体疗室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C8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3FA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02E0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A6C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CB8E6">
            <w:pPr>
              <w:jc w:val="center"/>
              <w:rPr>
                <w:rFonts w:hint="eastAsia" w:ascii="等线" w:hAnsi="等线" w:eastAsia="等线" w:cs="等线"/>
                <w:i w:val="0"/>
                <w:iCs w:val="0"/>
                <w:color w:val="auto"/>
                <w:sz w:val="22"/>
                <w:szCs w:val="22"/>
                <w:highlight w:val="none"/>
                <w:u w:val="none"/>
              </w:rPr>
            </w:pPr>
          </w:p>
        </w:tc>
      </w:tr>
      <w:tr w14:paraId="2B925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E53DC">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1066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643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蜡疗室（2间）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38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AA6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B03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BBE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E3063">
            <w:pPr>
              <w:jc w:val="center"/>
              <w:rPr>
                <w:rFonts w:hint="eastAsia" w:ascii="等线" w:hAnsi="等线" w:eastAsia="等线" w:cs="等线"/>
                <w:i w:val="0"/>
                <w:iCs w:val="0"/>
                <w:color w:val="auto"/>
                <w:sz w:val="22"/>
                <w:szCs w:val="22"/>
                <w:highlight w:val="none"/>
                <w:u w:val="none"/>
              </w:rPr>
            </w:pPr>
          </w:p>
        </w:tc>
      </w:tr>
      <w:tr w14:paraId="64B06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08B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E7C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6D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牵引治疗室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60F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EC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AA9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8B1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56D46">
            <w:pPr>
              <w:jc w:val="center"/>
              <w:rPr>
                <w:rFonts w:hint="eastAsia" w:ascii="等线" w:hAnsi="等线" w:eastAsia="等线" w:cs="等线"/>
                <w:i w:val="0"/>
                <w:iCs w:val="0"/>
                <w:color w:val="auto"/>
                <w:sz w:val="22"/>
                <w:szCs w:val="22"/>
                <w:highlight w:val="none"/>
                <w:u w:val="none"/>
              </w:rPr>
            </w:pPr>
          </w:p>
        </w:tc>
      </w:tr>
      <w:tr w14:paraId="65759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2F0F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259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8B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高中低频治疗室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16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A1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2A88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A82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5BFC3">
            <w:pPr>
              <w:jc w:val="center"/>
              <w:rPr>
                <w:rFonts w:hint="eastAsia" w:ascii="等线" w:hAnsi="等线" w:eastAsia="等线" w:cs="等线"/>
                <w:i w:val="0"/>
                <w:iCs w:val="0"/>
                <w:color w:val="auto"/>
                <w:sz w:val="22"/>
                <w:szCs w:val="22"/>
                <w:highlight w:val="none"/>
                <w:u w:val="none"/>
              </w:rPr>
            </w:pPr>
          </w:p>
        </w:tc>
      </w:tr>
      <w:tr w14:paraId="4BB47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1A1AD">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E8576">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BBF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理疗</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8C9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AB2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8E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2E4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8ED00">
            <w:pPr>
              <w:jc w:val="center"/>
              <w:rPr>
                <w:rFonts w:hint="eastAsia" w:ascii="等线" w:hAnsi="等线" w:eastAsia="等线" w:cs="等线"/>
                <w:i w:val="0"/>
                <w:iCs w:val="0"/>
                <w:color w:val="auto"/>
                <w:sz w:val="22"/>
                <w:szCs w:val="22"/>
                <w:highlight w:val="none"/>
                <w:u w:val="none"/>
              </w:rPr>
            </w:pPr>
          </w:p>
        </w:tc>
      </w:tr>
      <w:tr w14:paraId="3D66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4EEBE7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3F弱电间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A7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中心药房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14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196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E2E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C4B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87B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医疗网、电话网共用现有1台交换机，办公网、有线电视网共用现有1台交换机，无需增设</w:t>
            </w:r>
          </w:p>
        </w:tc>
      </w:tr>
      <w:tr w14:paraId="3E8C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ACE9A85">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311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BB0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27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79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CF5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B73D">
            <w:pPr>
              <w:jc w:val="center"/>
              <w:rPr>
                <w:rFonts w:hint="eastAsia" w:ascii="等线" w:hAnsi="等线" w:eastAsia="等线" w:cs="等线"/>
                <w:i w:val="0"/>
                <w:iCs w:val="0"/>
                <w:color w:val="auto"/>
                <w:sz w:val="22"/>
                <w:szCs w:val="22"/>
                <w:highlight w:val="none"/>
                <w:u w:val="none"/>
              </w:rPr>
            </w:pPr>
          </w:p>
        </w:tc>
      </w:tr>
      <w:tr w14:paraId="6B6A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3D98A21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4F弱电间</w:t>
            </w:r>
          </w:p>
        </w:tc>
        <w:tc>
          <w:tcPr>
            <w:tcW w:w="8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6B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NICU</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871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402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60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07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nil"/>
              <w:right w:val="single" w:color="000000" w:sz="4" w:space="0"/>
            </w:tcBorders>
            <w:shd w:val="clear" w:color="auto" w:fill="auto"/>
            <w:noWrap/>
            <w:vAlign w:val="center"/>
          </w:tcPr>
          <w:p w14:paraId="0277825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22</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A4E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无需增设</w:t>
            </w:r>
          </w:p>
        </w:tc>
      </w:tr>
      <w:tr w14:paraId="7862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DA3B11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55D3">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EF7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抢救室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3D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E24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8D2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159FF5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5C0C">
            <w:pPr>
              <w:jc w:val="center"/>
              <w:rPr>
                <w:rFonts w:hint="eastAsia" w:ascii="等线" w:hAnsi="等线" w:eastAsia="等线" w:cs="等线"/>
                <w:i w:val="0"/>
                <w:iCs w:val="0"/>
                <w:color w:val="auto"/>
                <w:sz w:val="22"/>
                <w:szCs w:val="22"/>
                <w:highlight w:val="none"/>
                <w:u w:val="none"/>
              </w:rPr>
            </w:pPr>
          </w:p>
        </w:tc>
      </w:tr>
      <w:tr w14:paraId="448CC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47EF94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631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80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配药、处置室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BF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C6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DD4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183188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1E7B4">
            <w:pPr>
              <w:jc w:val="center"/>
              <w:rPr>
                <w:rFonts w:hint="eastAsia" w:ascii="等线" w:hAnsi="等线" w:eastAsia="等线" w:cs="等线"/>
                <w:i w:val="0"/>
                <w:iCs w:val="0"/>
                <w:color w:val="auto"/>
                <w:sz w:val="22"/>
                <w:szCs w:val="22"/>
                <w:highlight w:val="none"/>
                <w:u w:val="none"/>
              </w:rPr>
            </w:pPr>
          </w:p>
        </w:tc>
      </w:tr>
      <w:tr w14:paraId="7061B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D48BFF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3C58">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A4E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BF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8C98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AE2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1EA833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76E0">
            <w:pPr>
              <w:jc w:val="center"/>
              <w:rPr>
                <w:rFonts w:hint="eastAsia" w:ascii="等线" w:hAnsi="等线" w:eastAsia="等线" w:cs="等线"/>
                <w:i w:val="0"/>
                <w:iCs w:val="0"/>
                <w:color w:val="auto"/>
                <w:sz w:val="22"/>
                <w:szCs w:val="22"/>
                <w:highlight w:val="none"/>
                <w:u w:val="none"/>
              </w:rPr>
            </w:pPr>
          </w:p>
        </w:tc>
      </w:tr>
      <w:tr w14:paraId="6817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E125A14">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54F2">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2DF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A49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01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27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FEE35F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D72F">
            <w:pPr>
              <w:jc w:val="center"/>
              <w:rPr>
                <w:rFonts w:hint="eastAsia" w:ascii="等线" w:hAnsi="等线" w:eastAsia="等线" w:cs="等线"/>
                <w:i w:val="0"/>
                <w:iCs w:val="0"/>
                <w:color w:val="auto"/>
                <w:sz w:val="22"/>
                <w:szCs w:val="22"/>
                <w:highlight w:val="none"/>
                <w:u w:val="none"/>
              </w:rPr>
            </w:pPr>
          </w:p>
        </w:tc>
      </w:tr>
      <w:tr w14:paraId="69AD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D6C57B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625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1FD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02F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0CD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F6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D5C733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2ED6">
            <w:pPr>
              <w:jc w:val="center"/>
              <w:rPr>
                <w:rFonts w:hint="eastAsia" w:ascii="等线" w:hAnsi="等线" w:eastAsia="等线" w:cs="等线"/>
                <w:i w:val="0"/>
                <w:iCs w:val="0"/>
                <w:color w:val="auto"/>
                <w:sz w:val="22"/>
                <w:szCs w:val="22"/>
                <w:highlight w:val="none"/>
                <w:u w:val="none"/>
              </w:rPr>
            </w:pPr>
          </w:p>
        </w:tc>
      </w:tr>
      <w:tr w14:paraId="7B5B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E31ECA2">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E3D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733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隔离婴儿室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433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78C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6895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36862A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714E">
            <w:pPr>
              <w:jc w:val="center"/>
              <w:rPr>
                <w:rFonts w:hint="eastAsia" w:ascii="等线" w:hAnsi="等线" w:eastAsia="等线" w:cs="等线"/>
                <w:i w:val="0"/>
                <w:iCs w:val="0"/>
                <w:color w:val="auto"/>
                <w:sz w:val="22"/>
                <w:szCs w:val="22"/>
                <w:highlight w:val="none"/>
                <w:u w:val="none"/>
              </w:rPr>
            </w:pPr>
          </w:p>
        </w:tc>
      </w:tr>
      <w:tr w14:paraId="5715B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7B6105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3908B">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825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C19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F3A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BB4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92E84B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03A9">
            <w:pPr>
              <w:jc w:val="center"/>
              <w:rPr>
                <w:rFonts w:hint="eastAsia" w:ascii="等线" w:hAnsi="等线" w:eastAsia="等线" w:cs="等线"/>
                <w:i w:val="0"/>
                <w:iCs w:val="0"/>
                <w:color w:val="auto"/>
                <w:sz w:val="22"/>
                <w:szCs w:val="22"/>
                <w:highlight w:val="none"/>
                <w:u w:val="none"/>
              </w:rPr>
            </w:pPr>
          </w:p>
        </w:tc>
      </w:tr>
      <w:tr w14:paraId="5764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52614F1">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B64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C3E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4A81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24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8</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8CC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22D662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2D58">
            <w:pPr>
              <w:jc w:val="center"/>
              <w:rPr>
                <w:rFonts w:hint="eastAsia" w:ascii="等线" w:hAnsi="等线" w:eastAsia="等线" w:cs="等线"/>
                <w:i w:val="0"/>
                <w:iCs w:val="0"/>
                <w:color w:val="auto"/>
                <w:sz w:val="22"/>
                <w:szCs w:val="22"/>
                <w:highlight w:val="none"/>
                <w:u w:val="none"/>
              </w:rPr>
            </w:pPr>
          </w:p>
        </w:tc>
      </w:tr>
      <w:tr w14:paraId="66EB6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E39848A">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5126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988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68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6EE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89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04D866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37DE">
            <w:pPr>
              <w:jc w:val="center"/>
              <w:rPr>
                <w:rFonts w:hint="eastAsia" w:ascii="等线" w:hAnsi="等线" w:eastAsia="等线" w:cs="等线"/>
                <w:i w:val="0"/>
                <w:iCs w:val="0"/>
                <w:color w:val="auto"/>
                <w:sz w:val="22"/>
                <w:szCs w:val="22"/>
                <w:highlight w:val="none"/>
                <w:u w:val="none"/>
              </w:rPr>
            </w:pPr>
          </w:p>
        </w:tc>
      </w:tr>
      <w:tr w14:paraId="5F9F0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7BC1A0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64D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5C5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2277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33C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8850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35E70F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6B85B">
            <w:pPr>
              <w:jc w:val="center"/>
              <w:rPr>
                <w:rFonts w:hint="eastAsia" w:ascii="等线" w:hAnsi="等线" w:eastAsia="等线" w:cs="等线"/>
                <w:i w:val="0"/>
                <w:iCs w:val="0"/>
                <w:color w:val="auto"/>
                <w:sz w:val="22"/>
                <w:szCs w:val="22"/>
                <w:highlight w:val="none"/>
                <w:u w:val="none"/>
              </w:rPr>
            </w:pPr>
          </w:p>
        </w:tc>
      </w:tr>
      <w:tr w14:paraId="7171E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7F3ABF5">
            <w:pPr>
              <w:jc w:val="center"/>
              <w:rPr>
                <w:rFonts w:hint="eastAsia" w:ascii="等线" w:hAnsi="等线" w:eastAsia="等线" w:cs="等线"/>
                <w:i w:val="0"/>
                <w:iCs w:val="0"/>
                <w:color w:val="auto"/>
                <w:sz w:val="22"/>
                <w:szCs w:val="22"/>
                <w:highlight w:val="none"/>
                <w:u w:val="none"/>
              </w:rPr>
            </w:pPr>
          </w:p>
        </w:tc>
        <w:tc>
          <w:tcPr>
            <w:tcW w:w="894" w:type="dxa"/>
            <w:vMerge w:val="restart"/>
            <w:tcBorders>
              <w:top w:val="single" w:color="000000" w:sz="4" w:space="0"/>
              <w:left w:val="single" w:color="000000" w:sz="4" w:space="0"/>
              <w:bottom w:val="nil"/>
              <w:right w:val="single" w:color="000000" w:sz="4" w:space="0"/>
            </w:tcBorders>
            <w:shd w:val="clear" w:color="auto" w:fill="auto"/>
            <w:noWrap/>
            <w:vAlign w:val="center"/>
          </w:tcPr>
          <w:p w14:paraId="7B52696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妇产科</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142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隔离产房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C11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E673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D77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F15E3A7">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578F">
            <w:pPr>
              <w:jc w:val="center"/>
              <w:rPr>
                <w:rFonts w:hint="eastAsia" w:ascii="等线" w:hAnsi="等线" w:eastAsia="等线" w:cs="等线"/>
                <w:i w:val="0"/>
                <w:iCs w:val="0"/>
                <w:color w:val="auto"/>
                <w:sz w:val="22"/>
                <w:szCs w:val="22"/>
                <w:highlight w:val="none"/>
                <w:u w:val="none"/>
              </w:rPr>
            </w:pPr>
          </w:p>
        </w:tc>
      </w:tr>
      <w:tr w14:paraId="6702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4EE67D5">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40CA390">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AC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产房（2间）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94F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87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FB9E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F5449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BB4B9">
            <w:pPr>
              <w:jc w:val="center"/>
              <w:rPr>
                <w:rFonts w:hint="eastAsia" w:ascii="等线" w:hAnsi="等线" w:eastAsia="等线" w:cs="等线"/>
                <w:i w:val="0"/>
                <w:iCs w:val="0"/>
                <w:color w:val="auto"/>
                <w:sz w:val="22"/>
                <w:szCs w:val="22"/>
                <w:highlight w:val="none"/>
                <w:u w:val="none"/>
              </w:rPr>
            </w:pPr>
          </w:p>
        </w:tc>
      </w:tr>
      <w:tr w14:paraId="44AAF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0C71B60">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D934487">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32D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产前检查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72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362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B4D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953162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A8D1">
            <w:pPr>
              <w:jc w:val="center"/>
              <w:rPr>
                <w:rFonts w:hint="eastAsia" w:ascii="等线" w:hAnsi="等线" w:eastAsia="等线" w:cs="等线"/>
                <w:i w:val="0"/>
                <w:iCs w:val="0"/>
                <w:color w:val="auto"/>
                <w:sz w:val="22"/>
                <w:szCs w:val="22"/>
                <w:highlight w:val="none"/>
                <w:u w:val="none"/>
              </w:rPr>
            </w:pPr>
          </w:p>
        </w:tc>
      </w:tr>
      <w:tr w14:paraId="67A8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550673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8D21899">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03F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DBD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EC7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EEF7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B9B41C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C9F4">
            <w:pPr>
              <w:jc w:val="center"/>
              <w:rPr>
                <w:rFonts w:hint="eastAsia" w:ascii="等线" w:hAnsi="等线" w:eastAsia="等线" w:cs="等线"/>
                <w:i w:val="0"/>
                <w:iCs w:val="0"/>
                <w:color w:val="auto"/>
                <w:sz w:val="22"/>
                <w:szCs w:val="22"/>
                <w:highlight w:val="none"/>
                <w:u w:val="none"/>
              </w:rPr>
            </w:pPr>
          </w:p>
        </w:tc>
      </w:tr>
      <w:tr w14:paraId="1E71F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9606246">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999F731">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E1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36C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EB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C99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398D111">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2DB3">
            <w:pPr>
              <w:jc w:val="center"/>
              <w:rPr>
                <w:rFonts w:hint="eastAsia" w:ascii="等线" w:hAnsi="等线" w:eastAsia="等线" w:cs="等线"/>
                <w:i w:val="0"/>
                <w:iCs w:val="0"/>
                <w:color w:val="auto"/>
                <w:sz w:val="22"/>
                <w:szCs w:val="22"/>
                <w:highlight w:val="none"/>
                <w:u w:val="none"/>
              </w:rPr>
            </w:pPr>
          </w:p>
        </w:tc>
      </w:tr>
      <w:tr w14:paraId="76679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36D425E">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CA56C6C">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6F8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98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27A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D90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73FA297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6A20">
            <w:pPr>
              <w:jc w:val="center"/>
              <w:rPr>
                <w:rFonts w:hint="eastAsia" w:ascii="等线" w:hAnsi="等线" w:eastAsia="等线" w:cs="等线"/>
                <w:i w:val="0"/>
                <w:iCs w:val="0"/>
                <w:color w:val="auto"/>
                <w:sz w:val="22"/>
                <w:szCs w:val="22"/>
                <w:highlight w:val="none"/>
                <w:u w:val="none"/>
              </w:rPr>
            </w:pPr>
          </w:p>
        </w:tc>
      </w:tr>
      <w:tr w14:paraId="3214A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0C13898">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518695AF">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1ED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FD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D88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101A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183376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B1D0">
            <w:pPr>
              <w:jc w:val="center"/>
              <w:rPr>
                <w:rFonts w:hint="eastAsia" w:ascii="等线" w:hAnsi="等线" w:eastAsia="等线" w:cs="等线"/>
                <w:i w:val="0"/>
                <w:iCs w:val="0"/>
                <w:color w:val="auto"/>
                <w:sz w:val="22"/>
                <w:szCs w:val="22"/>
                <w:highlight w:val="none"/>
                <w:u w:val="none"/>
              </w:rPr>
            </w:pPr>
          </w:p>
        </w:tc>
      </w:tr>
      <w:tr w14:paraId="5B1E4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893392F">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DAC9234">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FD6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3人病房（3间）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E70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9</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8A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46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4418D0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2753">
            <w:pPr>
              <w:jc w:val="center"/>
              <w:rPr>
                <w:rFonts w:hint="eastAsia" w:ascii="等线" w:hAnsi="等线" w:eastAsia="等线" w:cs="等线"/>
                <w:i w:val="0"/>
                <w:iCs w:val="0"/>
                <w:color w:val="auto"/>
                <w:sz w:val="22"/>
                <w:szCs w:val="22"/>
                <w:highlight w:val="none"/>
                <w:u w:val="none"/>
              </w:rPr>
            </w:pPr>
          </w:p>
        </w:tc>
      </w:tr>
      <w:tr w14:paraId="56D5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0934AB5">
            <w:pPr>
              <w:jc w:val="center"/>
              <w:rPr>
                <w:rFonts w:hint="eastAsia" w:ascii="等线" w:hAnsi="等线" w:eastAsia="等线" w:cs="等线"/>
                <w:i w:val="0"/>
                <w:iCs w:val="0"/>
                <w:color w:val="auto"/>
                <w:sz w:val="22"/>
                <w:szCs w:val="22"/>
                <w:highlight w:val="none"/>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1F61D4A">
            <w:pPr>
              <w:jc w:val="center"/>
              <w:rPr>
                <w:rFonts w:hint="eastAsia" w:ascii="等线" w:hAnsi="等线" w:eastAsia="等线" w:cs="等线"/>
                <w:i w:val="0"/>
                <w:iCs w:val="0"/>
                <w:color w:val="auto"/>
                <w:sz w:val="22"/>
                <w:szCs w:val="22"/>
                <w:highlight w:val="none"/>
                <w:u w:val="none"/>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94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868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F8F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96A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60802C9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CFB1D">
            <w:pPr>
              <w:jc w:val="center"/>
              <w:rPr>
                <w:rFonts w:hint="eastAsia" w:ascii="等线" w:hAnsi="等线" w:eastAsia="等线" w:cs="等线"/>
                <w:i w:val="0"/>
                <w:iCs w:val="0"/>
                <w:color w:val="auto"/>
                <w:sz w:val="22"/>
                <w:szCs w:val="22"/>
                <w:highlight w:val="none"/>
                <w:u w:val="none"/>
              </w:rPr>
            </w:pPr>
          </w:p>
        </w:tc>
      </w:tr>
      <w:tr w14:paraId="1EE2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nil"/>
              <w:right w:val="single" w:color="000000" w:sz="4" w:space="0"/>
            </w:tcBorders>
            <w:shd w:val="clear" w:color="auto" w:fill="auto"/>
            <w:vAlign w:val="center"/>
          </w:tcPr>
          <w:p w14:paraId="7C3675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5F弱电间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7B39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值班室（3间）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A9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D83B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6C7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2851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10</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F5AD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05C2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440E5946">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2F54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E1A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AFC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02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D423">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FBA61">
            <w:pPr>
              <w:jc w:val="center"/>
              <w:rPr>
                <w:rFonts w:hint="eastAsia" w:ascii="等线" w:hAnsi="等线" w:eastAsia="等线" w:cs="等线"/>
                <w:i w:val="0"/>
                <w:iCs w:val="0"/>
                <w:color w:val="auto"/>
                <w:sz w:val="22"/>
                <w:szCs w:val="22"/>
                <w:highlight w:val="none"/>
                <w:u w:val="none"/>
              </w:rPr>
            </w:pPr>
          </w:p>
        </w:tc>
      </w:tr>
      <w:tr w14:paraId="5AF0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0EE0891">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BAA9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6EA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523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1FA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D73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FC842">
            <w:pPr>
              <w:jc w:val="center"/>
              <w:rPr>
                <w:rFonts w:hint="eastAsia" w:ascii="等线" w:hAnsi="等线" w:eastAsia="等线" w:cs="等线"/>
                <w:i w:val="0"/>
                <w:iCs w:val="0"/>
                <w:color w:val="auto"/>
                <w:sz w:val="22"/>
                <w:szCs w:val="22"/>
                <w:highlight w:val="none"/>
                <w:u w:val="none"/>
              </w:rPr>
            </w:pPr>
          </w:p>
        </w:tc>
      </w:tr>
      <w:tr w14:paraId="5DE5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D1993C3">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C1EB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A96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85C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1D1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9E5B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5741">
            <w:pPr>
              <w:jc w:val="center"/>
              <w:rPr>
                <w:rFonts w:hint="eastAsia" w:ascii="等线" w:hAnsi="等线" w:eastAsia="等线" w:cs="等线"/>
                <w:i w:val="0"/>
                <w:iCs w:val="0"/>
                <w:color w:val="auto"/>
                <w:sz w:val="22"/>
                <w:szCs w:val="22"/>
                <w:highlight w:val="none"/>
                <w:u w:val="none"/>
              </w:rPr>
            </w:pPr>
          </w:p>
        </w:tc>
      </w:tr>
      <w:tr w14:paraId="56655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7C2DB33F">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AE64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0D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6D05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39E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980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8DB4">
            <w:pPr>
              <w:jc w:val="center"/>
              <w:rPr>
                <w:rFonts w:hint="eastAsia" w:ascii="等线" w:hAnsi="等线" w:eastAsia="等线" w:cs="等线"/>
                <w:i w:val="0"/>
                <w:iCs w:val="0"/>
                <w:color w:val="auto"/>
                <w:sz w:val="22"/>
                <w:szCs w:val="22"/>
                <w:highlight w:val="none"/>
                <w:u w:val="none"/>
              </w:rPr>
            </w:pPr>
          </w:p>
        </w:tc>
      </w:tr>
      <w:tr w14:paraId="00A2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39CC58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5CF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10F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E6E6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819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AA9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694D0">
            <w:pPr>
              <w:jc w:val="center"/>
              <w:rPr>
                <w:rFonts w:hint="eastAsia" w:ascii="等线" w:hAnsi="等线" w:eastAsia="等线" w:cs="等线"/>
                <w:i w:val="0"/>
                <w:iCs w:val="0"/>
                <w:color w:val="auto"/>
                <w:sz w:val="22"/>
                <w:szCs w:val="22"/>
                <w:highlight w:val="none"/>
                <w:u w:val="none"/>
              </w:rPr>
            </w:pPr>
          </w:p>
        </w:tc>
      </w:tr>
      <w:tr w14:paraId="5CA48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6303C024">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D45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3326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C7F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0CC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C50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83591">
            <w:pPr>
              <w:jc w:val="center"/>
              <w:rPr>
                <w:rFonts w:hint="eastAsia" w:ascii="等线" w:hAnsi="等线" w:eastAsia="等线" w:cs="等线"/>
                <w:i w:val="0"/>
                <w:iCs w:val="0"/>
                <w:color w:val="auto"/>
                <w:sz w:val="22"/>
                <w:szCs w:val="22"/>
                <w:highlight w:val="none"/>
                <w:u w:val="none"/>
              </w:rPr>
            </w:pPr>
          </w:p>
        </w:tc>
      </w:tr>
      <w:tr w14:paraId="0D975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07CE6B14">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08F3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1A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A8CE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EFE2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59B4">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F6A0F">
            <w:pPr>
              <w:jc w:val="center"/>
              <w:rPr>
                <w:rFonts w:hint="eastAsia" w:ascii="等线" w:hAnsi="等线" w:eastAsia="等线" w:cs="等线"/>
                <w:i w:val="0"/>
                <w:iCs w:val="0"/>
                <w:color w:val="auto"/>
                <w:sz w:val="22"/>
                <w:szCs w:val="22"/>
                <w:highlight w:val="none"/>
                <w:u w:val="none"/>
              </w:rPr>
            </w:pPr>
          </w:p>
        </w:tc>
      </w:tr>
      <w:tr w14:paraId="67C6E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13EDB42E">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282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450C">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9C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BE7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D79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A4C20">
            <w:pPr>
              <w:jc w:val="center"/>
              <w:rPr>
                <w:rFonts w:hint="eastAsia" w:ascii="等线" w:hAnsi="等线" w:eastAsia="等线" w:cs="等线"/>
                <w:i w:val="0"/>
                <w:iCs w:val="0"/>
                <w:color w:val="auto"/>
                <w:sz w:val="22"/>
                <w:szCs w:val="22"/>
                <w:highlight w:val="none"/>
                <w:u w:val="none"/>
              </w:rPr>
            </w:pPr>
          </w:p>
        </w:tc>
      </w:tr>
      <w:tr w14:paraId="7FE20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5D70BA5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6DCF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1D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DEB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804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A54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11227">
            <w:pPr>
              <w:jc w:val="center"/>
              <w:rPr>
                <w:rFonts w:hint="eastAsia" w:ascii="等线" w:hAnsi="等线" w:eastAsia="等线" w:cs="等线"/>
                <w:i w:val="0"/>
                <w:iCs w:val="0"/>
                <w:color w:val="auto"/>
                <w:sz w:val="22"/>
                <w:szCs w:val="22"/>
                <w:highlight w:val="none"/>
                <w:u w:val="none"/>
              </w:rPr>
            </w:pPr>
          </w:p>
        </w:tc>
      </w:tr>
      <w:tr w14:paraId="67685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304B422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A509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3人病房（14间）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984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A776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EC4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5A1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9E630">
            <w:pPr>
              <w:jc w:val="center"/>
              <w:rPr>
                <w:rFonts w:hint="eastAsia" w:ascii="等线" w:hAnsi="等线" w:eastAsia="等线" w:cs="等线"/>
                <w:i w:val="0"/>
                <w:iCs w:val="0"/>
                <w:color w:val="auto"/>
                <w:sz w:val="22"/>
                <w:szCs w:val="22"/>
                <w:highlight w:val="none"/>
                <w:u w:val="none"/>
              </w:rPr>
            </w:pPr>
          </w:p>
        </w:tc>
      </w:tr>
      <w:tr w14:paraId="78F05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nil"/>
              <w:right w:val="single" w:color="000000" w:sz="4" w:space="0"/>
            </w:tcBorders>
            <w:shd w:val="clear" w:color="auto" w:fill="auto"/>
            <w:vAlign w:val="center"/>
          </w:tcPr>
          <w:p w14:paraId="2BD5D3EF">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C4B5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无障碍病房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734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3E6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37D6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090BF">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67FCA">
            <w:pPr>
              <w:jc w:val="center"/>
              <w:rPr>
                <w:rFonts w:hint="eastAsia" w:ascii="等线" w:hAnsi="等线" w:eastAsia="等线" w:cs="等线"/>
                <w:i w:val="0"/>
                <w:iCs w:val="0"/>
                <w:color w:val="auto"/>
                <w:sz w:val="22"/>
                <w:szCs w:val="22"/>
                <w:highlight w:val="none"/>
                <w:u w:val="none"/>
              </w:rPr>
            </w:pPr>
          </w:p>
        </w:tc>
      </w:tr>
      <w:tr w14:paraId="2DE2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613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住院楼</w:t>
            </w:r>
            <w:r>
              <w:rPr>
                <w:rFonts w:hint="eastAsia" w:ascii="等线" w:hAnsi="等线" w:eastAsia="等线" w:cs="等线"/>
                <w:i w:val="0"/>
                <w:iCs w:val="0"/>
                <w:color w:val="auto"/>
                <w:kern w:val="0"/>
                <w:sz w:val="22"/>
                <w:szCs w:val="22"/>
                <w:highlight w:val="none"/>
                <w:u w:val="none"/>
                <w:lang w:val="en-US" w:eastAsia="zh-CN" w:bidi="ar"/>
              </w:rPr>
              <w:br w:type="textWrapping"/>
            </w:r>
            <w:r>
              <w:rPr>
                <w:rFonts w:hint="eastAsia" w:ascii="等线" w:hAnsi="等线" w:eastAsia="等线" w:cs="等线"/>
                <w:i w:val="0"/>
                <w:iCs w:val="0"/>
                <w:color w:val="auto"/>
                <w:kern w:val="0"/>
                <w:sz w:val="22"/>
                <w:szCs w:val="22"/>
                <w:highlight w:val="none"/>
                <w:u w:val="none"/>
                <w:lang w:val="en-US" w:eastAsia="zh-CN" w:bidi="ar"/>
              </w:rPr>
              <w:t>6F-12F弱电间</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E278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值班室（3间）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D7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301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27E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379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22</w:t>
            </w:r>
          </w:p>
        </w:tc>
        <w:tc>
          <w:tcPr>
            <w:tcW w:w="1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9D40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办公网、有线电视网共用现有1台交换机，无需增设</w:t>
            </w:r>
          </w:p>
        </w:tc>
      </w:tr>
      <w:tr w14:paraId="79174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61A6D">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2F72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主任办公室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658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E6CB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462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6B5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C7A8">
            <w:pPr>
              <w:jc w:val="center"/>
              <w:rPr>
                <w:rFonts w:hint="eastAsia" w:ascii="等线" w:hAnsi="等线" w:eastAsia="等线" w:cs="等线"/>
                <w:i w:val="0"/>
                <w:iCs w:val="0"/>
                <w:color w:val="auto"/>
                <w:sz w:val="22"/>
                <w:szCs w:val="22"/>
                <w:highlight w:val="none"/>
                <w:u w:val="none"/>
              </w:rPr>
            </w:pPr>
          </w:p>
        </w:tc>
      </w:tr>
      <w:tr w14:paraId="3B25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D1612">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3E5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护士长办公室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576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1317">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E7A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5C3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58B2A">
            <w:pPr>
              <w:jc w:val="center"/>
              <w:rPr>
                <w:rFonts w:hint="eastAsia" w:ascii="等线" w:hAnsi="等线" w:eastAsia="等线" w:cs="等线"/>
                <w:i w:val="0"/>
                <w:iCs w:val="0"/>
                <w:color w:val="auto"/>
                <w:sz w:val="22"/>
                <w:szCs w:val="22"/>
                <w:highlight w:val="none"/>
                <w:u w:val="none"/>
              </w:rPr>
            </w:pPr>
          </w:p>
        </w:tc>
      </w:tr>
      <w:tr w14:paraId="00F9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8345D">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03D1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医护办</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FB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C62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12</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3D5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4BAE">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47E0B">
            <w:pPr>
              <w:jc w:val="center"/>
              <w:rPr>
                <w:rFonts w:hint="eastAsia" w:ascii="等线" w:hAnsi="等线" w:eastAsia="等线" w:cs="等线"/>
                <w:i w:val="0"/>
                <w:iCs w:val="0"/>
                <w:color w:val="auto"/>
                <w:sz w:val="22"/>
                <w:szCs w:val="22"/>
                <w:highlight w:val="none"/>
                <w:u w:val="none"/>
              </w:rPr>
            </w:pPr>
          </w:p>
        </w:tc>
      </w:tr>
      <w:tr w14:paraId="32E0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5986">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B81C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配药室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342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1BD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6F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7400">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F1947">
            <w:pPr>
              <w:jc w:val="center"/>
              <w:rPr>
                <w:rFonts w:hint="eastAsia" w:ascii="等线" w:hAnsi="等线" w:eastAsia="等线" w:cs="等线"/>
                <w:i w:val="0"/>
                <w:iCs w:val="0"/>
                <w:color w:val="auto"/>
                <w:sz w:val="22"/>
                <w:szCs w:val="22"/>
                <w:highlight w:val="none"/>
                <w:u w:val="none"/>
              </w:rPr>
            </w:pPr>
          </w:p>
        </w:tc>
      </w:tr>
      <w:tr w14:paraId="3A5F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D4AB">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AA14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处置室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38C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910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CD0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3235">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92582">
            <w:pPr>
              <w:jc w:val="center"/>
              <w:rPr>
                <w:rFonts w:hint="eastAsia" w:ascii="等线" w:hAnsi="等线" w:eastAsia="等线" w:cs="等线"/>
                <w:i w:val="0"/>
                <w:iCs w:val="0"/>
                <w:color w:val="auto"/>
                <w:sz w:val="22"/>
                <w:szCs w:val="22"/>
                <w:highlight w:val="none"/>
                <w:u w:val="none"/>
              </w:rPr>
            </w:pPr>
          </w:p>
        </w:tc>
      </w:tr>
      <w:tr w14:paraId="1116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BE069">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5B2C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会议示教室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A14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EDE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610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571B">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3700D">
            <w:pPr>
              <w:jc w:val="center"/>
              <w:rPr>
                <w:rFonts w:hint="eastAsia" w:ascii="等线" w:hAnsi="等线" w:eastAsia="等线" w:cs="等线"/>
                <w:i w:val="0"/>
                <w:iCs w:val="0"/>
                <w:color w:val="auto"/>
                <w:sz w:val="22"/>
                <w:szCs w:val="22"/>
                <w:highlight w:val="none"/>
                <w:u w:val="none"/>
              </w:rPr>
            </w:pPr>
          </w:p>
        </w:tc>
      </w:tr>
      <w:tr w14:paraId="76BDF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6F869">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99FE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治疗室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F92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23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15D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D728">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F3665">
            <w:pPr>
              <w:jc w:val="center"/>
              <w:rPr>
                <w:rFonts w:hint="eastAsia" w:ascii="等线" w:hAnsi="等线" w:eastAsia="等线" w:cs="等线"/>
                <w:i w:val="0"/>
                <w:iCs w:val="0"/>
                <w:color w:val="auto"/>
                <w:sz w:val="22"/>
                <w:szCs w:val="22"/>
                <w:highlight w:val="none"/>
                <w:u w:val="none"/>
              </w:rPr>
            </w:pPr>
          </w:p>
        </w:tc>
      </w:tr>
      <w:tr w14:paraId="562B1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501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45AD4">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护士站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D70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5093">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C64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6386">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B6790">
            <w:pPr>
              <w:jc w:val="center"/>
              <w:rPr>
                <w:rFonts w:hint="eastAsia" w:ascii="等线" w:hAnsi="等线" w:eastAsia="等线" w:cs="等线"/>
                <w:i w:val="0"/>
                <w:iCs w:val="0"/>
                <w:color w:val="auto"/>
                <w:sz w:val="22"/>
                <w:szCs w:val="22"/>
                <w:highlight w:val="none"/>
                <w:u w:val="none"/>
              </w:rPr>
            </w:pPr>
          </w:p>
        </w:tc>
      </w:tr>
      <w:tr w14:paraId="1439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61E80">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CB9CD">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2人病房（2间）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156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2BA1A">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811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88B59">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95C62">
            <w:pPr>
              <w:jc w:val="center"/>
              <w:rPr>
                <w:rFonts w:hint="eastAsia" w:ascii="等线" w:hAnsi="等线" w:eastAsia="等线" w:cs="等线"/>
                <w:i w:val="0"/>
                <w:iCs w:val="0"/>
                <w:color w:val="auto"/>
                <w:sz w:val="22"/>
                <w:szCs w:val="22"/>
                <w:highlight w:val="none"/>
                <w:u w:val="none"/>
              </w:rPr>
            </w:pPr>
          </w:p>
        </w:tc>
      </w:tr>
      <w:tr w14:paraId="2587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B7EA3">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347D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3人病房（14间）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99CF">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42</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E7D9">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223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4E2A">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F5152">
            <w:pPr>
              <w:jc w:val="center"/>
              <w:rPr>
                <w:rFonts w:hint="eastAsia" w:ascii="等线" w:hAnsi="等线" w:eastAsia="等线" w:cs="等线"/>
                <w:i w:val="0"/>
                <w:iCs w:val="0"/>
                <w:color w:val="auto"/>
                <w:sz w:val="22"/>
                <w:szCs w:val="22"/>
                <w:highlight w:val="none"/>
                <w:u w:val="none"/>
              </w:rPr>
            </w:pPr>
          </w:p>
        </w:tc>
      </w:tr>
      <w:tr w14:paraId="316F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B586E">
            <w:pPr>
              <w:jc w:val="center"/>
              <w:rPr>
                <w:rFonts w:hint="eastAsia" w:ascii="等线" w:hAnsi="等线" w:eastAsia="等线" w:cs="等线"/>
                <w:i w:val="0"/>
                <w:iCs w:val="0"/>
                <w:color w:val="auto"/>
                <w:sz w:val="22"/>
                <w:szCs w:val="22"/>
                <w:highlight w:val="none"/>
                <w:u w:val="none"/>
              </w:rPr>
            </w:pP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7005B">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无障碍病房</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A1D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87F6">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A771">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0</w:t>
            </w:r>
          </w:p>
        </w:tc>
        <w:tc>
          <w:tcPr>
            <w:tcW w:w="9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3F8C">
            <w:pPr>
              <w:jc w:val="center"/>
              <w:rPr>
                <w:rFonts w:hint="eastAsia" w:ascii="等线" w:hAnsi="等线" w:eastAsia="等线" w:cs="等线"/>
                <w:i w:val="0"/>
                <w:iCs w:val="0"/>
                <w:color w:val="auto"/>
                <w:sz w:val="22"/>
                <w:szCs w:val="22"/>
                <w:highlight w:val="none"/>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0F85C">
            <w:pPr>
              <w:jc w:val="center"/>
              <w:rPr>
                <w:rFonts w:hint="eastAsia" w:ascii="等线" w:hAnsi="等线" w:eastAsia="等线" w:cs="等线"/>
                <w:i w:val="0"/>
                <w:iCs w:val="0"/>
                <w:color w:val="auto"/>
                <w:sz w:val="22"/>
                <w:szCs w:val="22"/>
                <w:highlight w:val="none"/>
                <w:u w:val="none"/>
              </w:rPr>
            </w:pPr>
          </w:p>
        </w:tc>
      </w:tr>
      <w:tr w14:paraId="0723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5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40DAE">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总计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D875">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787</w:t>
            </w:r>
          </w:p>
        </w:tc>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DE70">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531</w:t>
            </w:r>
          </w:p>
        </w:tc>
        <w:tc>
          <w:tcPr>
            <w:tcW w:w="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7BE8">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192</w:t>
            </w:r>
          </w:p>
        </w:tc>
        <w:tc>
          <w:tcPr>
            <w:tcW w:w="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95B2">
            <w:pPr>
              <w:keepNext w:val="0"/>
              <w:keepLines w:val="0"/>
              <w:widowControl/>
              <w:suppressLineNumbers w:val="0"/>
              <w:jc w:val="center"/>
              <w:textAlignment w:val="center"/>
              <w:rPr>
                <w:rFonts w:hint="eastAsia" w:ascii="等线" w:hAnsi="等线" w:eastAsia="等线" w:cs="等线"/>
                <w:i w:val="0"/>
                <w:iCs w:val="0"/>
                <w:color w:val="auto"/>
                <w:sz w:val="22"/>
                <w:szCs w:val="22"/>
                <w:highlight w:val="none"/>
                <w:u w:val="none"/>
              </w:rPr>
            </w:pPr>
            <w:r>
              <w:rPr>
                <w:rFonts w:hint="eastAsia" w:ascii="等线" w:hAnsi="等线" w:eastAsia="等线" w:cs="等线"/>
                <w:i w:val="0"/>
                <w:iCs w:val="0"/>
                <w:color w:val="auto"/>
                <w:kern w:val="0"/>
                <w:sz w:val="22"/>
                <w:szCs w:val="22"/>
                <w:highlight w:val="none"/>
                <w:u w:val="none"/>
                <w:lang w:val="en-US" w:eastAsia="zh-CN" w:bidi="ar"/>
              </w:rPr>
              <w:t>131</w:t>
            </w:r>
          </w:p>
        </w:tc>
        <w:tc>
          <w:tcPr>
            <w:tcW w:w="170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F7A5BB">
            <w:pPr>
              <w:jc w:val="center"/>
              <w:rPr>
                <w:rFonts w:hint="default" w:ascii="等线" w:hAnsi="等线" w:eastAsia="等线" w:cs="等线"/>
                <w:i w:val="0"/>
                <w:iCs w:val="0"/>
                <w:color w:val="auto"/>
                <w:sz w:val="22"/>
                <w:szCs w:val="22"/>
                <w:highlight w:val="none"/>
                <w:u w:val="none"/>
                <w:lang w:val="en-US" w:eastAsia="zh-CN"/>
              </w:rPr>
            </w:pPr>
            <w:r>
              <w:rPr>
                <w:rFonts w:hint="eastAsia" w:ascii="等线" w:hAnsi="等线" w:eastAsia="等线" w:cs="等线"/>
                <w:i w:val="0"/>
                <w:iCs w:val="0"/>
                <w:color w:val="auto"/>
                <w:sz w:val="22"/>
                <w:szCs w:val="22"/>
                <w:highlight w:val="none"/>
                <w:u w:val="none"/>
                <w:lang w:val="en-US" w:eastAsia="zh-CN"/>
              </w:rPr>
              <w:t>一共增设9台24口交换机</w:t>
            </w:r>
          </w:p>
        </w:tc>
      </w:tr>
    </w:tbl>
    <w:p w14:paraId="5CF3614C">
      <w:pPr>
        <w:keepNext w:val="0"/>
        <w:keepLines w:val="0"/>
        <w:numPr>
          <w:ilvl w:val="-1"/>
          <w:numId w:val="0"/>
        </w:numPr>
        <w:spacing w:before="0" w:after="0"/>
        <w:ind w:firstLine="480" w:firstLineChars="200"/>
        <w:rPr>
          <w:rFonts w:hint="default" w:eastAsia="宋体"/>
          <w:color w:val="auto"/>
          <w:highlight w:val="none"/>
          <w:lang w:val="en-US" w:eastAsia="zh-CN"/>
        </w:rPr>
      </w:pPr>
      <w:r>
        <w:rPr>
          <w:rFonts w:hint="eastAsia"/>
          <w:color w:val="auto"/>
          <w:highlight w:val="none"/>
          <w:lang w:val="en-US" w:eastAsia="zh-CN"/>
        </w:rPr>
        <w:t>经上表统计，本次网络改造一共涉及192个办公网点位、131个电视网点位需要完成属性变更。</w:t>
      </w:r>
    </w:p>
    <w:p w14:paraId="273B756A">
      <w:pPr>
        <w:pStyle w:val="5"/>
        <w:bidi w:val="0"/>
        <w:ind w:left="720" w:leftChars="0" w:hanging="720" w:firstLineChars="0"/>
        <w:rPr>
          <w:rFonts w:hint="eastAsia"/>
        </w:rPr>
      </w:pPr>
      <w:r>
        <w:rPr>
          <w:rFonts w:hint="eastAsia"/>
          <w:lang w:val="en-US" w:eastAsia="zh-CN"/>
        </w:rPr>
        <w:t>实施设计</w:t>
      </w:r>
    </w:p>
    <w:p w14:paraId="479EDBCB">
      <w:pPr>
        <w:keepNext w:val="0"/>
        <w:keepLines w:val="0"/>
        <w:widowControl/>
        <w:numPr>
          <w:ilvl w:val="-1"/>
          <w:numId w:val="0"/>
        </w:numPr>
        <w:suppressLineNumbers w:val="0"/>
        <w:spacing w:before="0" w:beforeAutospacing="0" w:after="0" w:afterAutospacing="0"/>
        <w:ind w:left="0" w:firstLine="480"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本次网络改造方案主要涉及以下步骤：</w:t>
      </w:r>
    </w:p>
    <w:p w14:paraId="6F8E142B">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第一步：摸排统计</w:t>
      </w:r>
    </w:p>
    <w:p w14:paraId="5B6C5AC9">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现场清点所有行政办公室，统计工位、现有信息点、需要保留内网的点位</w:t>
      </w: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rPr>
        <w:t>形成点位改造清单。</w:t>
      </w:r>
    </w:p>
    <w:p w14:paraId="1067AE43">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第二步：设备上架部署</w:t>
      </w:r>
    </w:p>
    <w:p w14:paraId="689DDF59">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机房上架外网独立核心交换机；各楼层配线间部署外网接入交换机，完成外网基础配置。</w:t>
      </w:r>
    </w:p>
    <w:p w14:paraId="1104E761">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w:t>
      </w:r>
      <w:r>
        <w:rPr>
          <w:rFonts w:hint="eastAsia" w:ascii="宋体" w:hAnsi="宋体" w:cs="宋体"/>
          <w:color w:val="auto"/>
          <w:highlight w:val="none"/>
          <w:lang w:val="en-US" w:eastAsia="zh-CN"/>
        </w:rPr>
        <w:t>三</w:t>
      </w:r>
      <w:r>
        <w:rPr>
          <w:rFonts w:hint="eastAsia" w:ascii="宋体" w:hAnsi="宋体" w:eastAsia="宋体" w:cs="宋体"/>
          <w:color w:val="auto"/>
          <w:highlight w:val="none"/>
          <w:lang w:val="en-US"/>
        </w:rPr>
        <w:t>步：配线间跳线割接（夜间窗口）</w:t>
      </w:r>
    </w:p>
    <w:p w14:paraId="36F1D785">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将办公室原有办公点位，从旧医疗内网交换机断开，跳接到外网接入交换机；完成点位属性变更； 需要同时保留内网访问的办公室，保留部分点位继续接医疗内网交换机。</w:t>
      </w:r>
    </w:p>
    <w:p w14:paraId="22F10C9A">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w:t>
      </w:r>
      <w:r>
        <w:rPr>
          <w:rFonts w:hint="eastAsia" w:ascii="宋体" w:hAnsi="宋体" w:cs="宋体"/>
          <w:color w:val="auto"/>
          <w:highlight w:val="none"/>
          <w:lang w:val="en-US" w:eastAsia="zh-CN"/>
        </w:rPr>
        <w:t>四</w:t>
      </w:r>
      <w:r>
        <w:rPr>
          <w:rFonts w:hint="eastAsia" w:ascii="宋体" w:hAnsi="宋体" w:eastAsia="宋体" w:cs="宋体"/>
          <w:color w:val="auto"/>
          <w:highlight w:val="none"/>
          <w:lang w:val="en-US"/>
        </w:rPr>
        <w:t>步：外网业务调试</w:t>
      </w:r>
    </w:p>
    <w:p w14:paraId="7FA871F1">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办公 PC 上网、无线业务调试；网闸部署，完成医保、公卫、报表等跨网业务摆渡测试。</w:t>
      </w:r>
    </w:p>
    <w:p w14:paraId="1B1762EE">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w:t>
      </w:r>
      <w:r>
        <w:rPr>
          <w:rFonts w:hint="eastAsia" w:ascii="宋体" w:hAnsi="宋体" w:cs="宋体"/>
          <w:color w:val="auto"/>
          <w:highlight w:val="none"/>
          <w:lang w:val="en-US" w:eastAsia="zh-CN"/>
        </w:rPr>
        <w:t>五</w:t>
      </w:r>
      <w:r>
        <w:rPr>
          <w:rFonts w:hint="eastAsia" w:ascii="宋体" w:hAnsi="宋体" w:eastAsia="宋体" w:cs="宋体"/>
          <w:color w:val="auto"/>
          <w:highlight w:val="none"/>
          <w:lang w:val="en-US"/>
        </w:rPr>
        <w:t>步：断开互联网设备与原有医疗业务核心交换机连线</w:t>
      </w:r>
    </w:p>
    <w:p w14:paraId="780EAA4D">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原有医疗业务核心彻底脱离互联网体系，只跑院内业务。</w:t>
      </w:r>
    </w:p>
    <w:p w14:paraId="6013DEB5">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w:t>
      </w:r>
      <w:r>
        <w:rPr>
          <w:rFonts w:hint="eastAsia" w:ascii="宋体" w:hAnsi="宋体" w:cs="宋体"/>
          <w:color w:val="auto"/>
          <w:highlight w:val="none"/>
          <w:lang w:val="en-US" w:eastAsia="zh-CN"/>
        </w:rPr>
        <w:t>六</w:t>
      </w:r>
      <w:r>
        <w:rPr>
          <w:rFonts w:hint="eastAsia" w:ascii="宋体" w:hAnsi="宋体" w:eastAsia="宋体" w:cs="宋体"/>
          <w:color w:val="auto"/>
          <w:highlight w:val="none"/>
          <w:lang w:val="en-US"/>
        </w:rPr>
        <w:t>步：业务全量验证、标签标识、文档更新</w:t>
      </w:r>
    </w:p>
    <w:p w14:paraId="3D3CB366">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更新网络拓扑图，区分医疗业务内网拓扑、外网办公互联网拓扑；更新点位台账；开展合规自查，留存改造记录用于二甲评审、等保测评。</w:t>
      </w:r>
    </w:p>
    <w:p w14:paraId="37DC0D69">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第</w:t>
      </w:r>
      <w:r>
        <w:rPr>
          <w:rFonts w:hint="eastAsia" w:ascii="宋体" w:hAnsi="宋体" w:cs="宋体"/>
          <w:color w:val="auto"/>
          <w:highlight w:val="none"/>
          <w:lang w:val="en-US" w:eastAsia="zh-CN"/>
        </w:rPr>
        <w:t>七</w:t>
      </w:r>
      <w:r>
        <w:rPr>
          <w:rFonts w:hint="eastAsia" w:ascii="宋体" w:hAnsi="宋体" w:eastAsia="宋体" w:cs="宋体"/>
          <w:color w:val="auto"/>
          <w:highlight w:val="none"/>
          <w:lang w:val="en-US"/>
        </w:rPr>
        <w:t>步：运维制度更新</w:t>
      </w:r>
    </w:p>
    <w:p w14:paraId="7662822D">
      <w:pPr>
        <w:keepNext w:val="0"/>
        <w:keepLines w:val="0"/>
        <w:widowControl/>
        <w:numPr>
          <w:ilvl w:val="-1"/>
          <w:numId w:val="0"/>
        </w:numPr>
        <w:suppressLineNumbers w:val="0"/>
        <w:spacing w:before="0" w:beforeAutospacing="0" w:after="0" w:afterAutospacing="0"/>
        <w:ind w:left="0" w:firstLine="480" w:firstLineChars="20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制定《信息点位管理规范》，明确：墙上网口哪个是内网、哪个是外网；禁止私自跳线跨网；新增加工位如何申请外网点位。</w:t>
      </w:r>
    </w:p>
    <w:p w14:paraId="0984F408">
      <w:pPr>
        <w:pStyle w:val="5"/>
        <w:bidi w:val="0"/>
        <w:ind w:left="720" w:leftChars="0" w:hanging="720" w:firstLineChars="0"/>
        <w:rPr>
          <w:rFonts w:hint="eastAsia"/>
        </w:rPr>
      </w:pPr>
      <w:r>
        <w:rPr>
          <w:rFonts w:hint="eastAsia"/>
          <w:lang w:val="en-US" w:eastAsia="zh-CN"/>
        </w:rPr>
        <w:t>方案清单</w:t>
      </w:r>
    </w:p>
    <w:p w14:paraId="7BB6FF18">
      <w:pPr>
        <w:numPr>
          <w:ilvl w:val="0"/>
          <w:numId w:val="0"/>
        </w:numPr>
        <w:ind w:firstLine="480" w:firstLineChars="200"/>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本次网络改造方案规划在外网配备</w:t>
      </w:r>
      <w:r>
        <w:rPr>
          <w:rFonts w:hint="eastAsia" w:ascii="宋体" w:hAnsi="宋体" w:cs="宋体"/>
          <w:color w:val="auto"/>
          <w:highlight w:val="none"/>
          <w:lang w:val="en-US" w:eastAsia="zh-CN"/>
        </w:rPr>
        <w:t>1台出口路由器、</w:t>
      </w:r>
      <w:r>
        <w:rPr>
          <w:rFonts w:hint="eastAsia" w:ascii="宋体" w:hAnsi="宋体" w:eastAsia="宋体" w:cs="宋体"/>
          <w:color w:val="auto"/>
          <w:highlight w:val="none"/>
          <w:lang w:val="en-US" w:eastAsia="zh-CN"/>
        </w:rPr>
        <w:t>1台核心交换机、3台汇聚交换机、</w:t>
      </w:r>
      <w:r>
        <w:rPr>
          <w:rFonts w:hint="eastAsia" w:ascii="宋体" w:hAnsi="宋体" w:cs="宋体"/>
          <w:color w:val="auto"/>
          <w:highlight w:val="none"/>
          <w:lang w:val="en-US" w:eastAsia="zh-CN"/>
        </w:rPr>
        <w:t>9</w:t>
      </w:r>
      <w:r>
        <w:rPr>
          <w:rFonts w:hint="eastAsia" w:ascii="宋体" w:hAnsi="宋体" w:eastAsia="宋体" w:cs="宋体"/>
          <w:color w:val="auto"/>
          <w:highlight w:val="none"/>
          <w:lang w:val="en-US" w:eastAsia="zh-CN"/>
        </w:rPr>
        <w:t>台24口接入交换机、2</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个万兆单模光模块、1项网络改造实施服务</w:t>
      </w:r>
      <w:r>
        <w:rPr>
          <w:rFonts w:hint="eastAsia" w:ascii="宋体" w:hAnsi="宋体" w:cs="宋体"/>
          <w:color w:val="auto"/>
          <w:highlight w:val="none"/>
          <w:lang w:val="en-US" w:eastAsia="zh-CN"/>
        </w:rPr>
        <w:t>，</w:t>
      </w:r>
      <w:r>
        <w:rPr>
          <w:rFonts w:hint="eastAsia" w:ascii="宋体" w:hAnsi="宋体" w:eastAsia="宋体" w:cs="宋体"/>
          <w:color w:val="auto"/>
          <w:highlight w:val="none"/>
          <w:lang w:val="en-US" w:eastAsia="zh-CN"/>
        </w:rPr>
        <w:t>详见下表：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525"/>
        <w:gridCol w:w="4930"/>
        <w:gridCol w:w="838"/>
      </w:tblGrid>
      <w:tr w14:paraId="3E02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719" w:type="dxa"/>
            <w:vAlign w:val="center"/>
          </w:tcPr>
          <w:p w14:paraId="272A493F">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525" w:type="dxa"/>
            <w:vAlign w:val="center"/>
          </w:tcPr>
          <w:p w14:paraId="02E57E5C">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4930" w:type="dxa"/>
            <w:vAlign w:val="center"/>
          </w:tcPr>
          <w:p w14:paraId="13960B9C">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技术指标与服务要求</w:t>
            </w:r>
          </w:p>
        </w:tc>
        <w:tc>
          <w:tcPr>
            <w:tcW w:w="838" w:type="dxa"/>
            <w:vAlign w:val="center"/>
          </w:tcPr>
          <w:p w14:paraId="46E69B7F">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r>
      <w:tr w14:paraId="1BAC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shd w:val="clear" w:color="auto" w:fill="auto"/>
            <w:vAlign w:val="center"/>
          </w:tcPr>
          <w:p w14:paraId="587A0B24">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w:t>
            </w:r>
          </w:p>
        </w:tc>
        <w:tc>
          <w:tcPr>
            <w:tcW w:w="1525" w:type="dxa"/>
            <w:shd w:val="clear" w:color="auto" w:fill="auto"/>
            <w:vAlign w:val="center"/>
          </w:tcPr>
          <w:p w14:paraId="5370B49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外网出口路由器</w:t>
            </w:r>
          </w:p>
        </w:tc>
        <w:tc>
          <w:tcPr>
            <w:tcW w:w="4930" w:type="dxa"/>
            <w:shd w:val="clear" w:color="auto" w:fill="auto"/>
            <w:vAlign w:val="center"/>
          </w:tcPr>
          <w:p w14:paraId="226C37BB">
            <w:pPr>
              <w:keepNext w:val="0"/>
              <w:keepLines w:val="0"/>
              <w:pageBreakBefore w:val="0"/>
              <w:widowControl/>
              <w:numPr>
                <w:ilvl w:val="0"/>
                <w:numId w:val="2"/>
              </w:numPr>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接口要求：≥12个千兆电口，≥12个千兆光口，≥4个万兆光口；配置双模块化电源。</w:t>
            </w:r>
          </w:p>
          <w:p w14:paraId="56907C36">
            <w:pPr>
              <w:keepNext w:val="0"/>
              <w:keepLines w:val="0"/>
              <w:pageBreakBefore w:val="0"/>
              <w:widowControl/>
              <w:numPr>
                <w:ilvl w:val="0"/>
                <w:numId w:val="2"/>
              </w:numPr>
              <w:kinsoku/>
              <w:wordWrap/>
              <w:overflowPunct/>
              <w:topLinePunct w:val="0"/>
              <w:autoSpaceDE/>
              <w:autoSpaceDN/>
              <w:bidi w:val="0"/>
              <w:adjustRightInd/>
              <w:snapToGrid/>
              <w:spacing w:before="120" w:beforeLines="50" w:after="120" w:afterLines="50"/>
              <w:ind w:firstLine="0" w:firstLineChars="0"/>
              <w:jc w:val="left"/>
              <w:textAlignment w:val="auto"/>
              <w:rPr>
                <w:rFonts w:hint="default"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路由协议：</w:t>
            </w:r>
            <w:r>
              <w:rPr>
                <w:rFonts w:hint="default" w:asciiTheme="minorEastAsia" w:hAnsiTheme="minorEastAsia" w:eastAsiaTheme="minorEastAsia" w:cstheme="minorEastAsia"/>
                <w:color w:val="auto"/>
                <w:sz w:val="24"/>
                <w:szCs w:val="24"/>
                <w:highlight w:val="none"/>
                <w:lang w:val="en-US" w:eastAsia="zh-CN" w:bidi="ar-SA"/>
              </w:rPr>
              <w:t>支持</w:t>
            </w:r>
            <w:r>
              <w:rPr>
                <w:rFonts w:hint="eastAsia" w:asciiTheme="minorEastAsia" w:hAnsiTheme="minorEastAsia" w:eastAsiaTheme="minorEastAsia" w:cstheme="minorEastAsia"/>
                <w:color w:val="auto"/>
                <w:sz w:val="24"/>
                <w:szCs w:val="24"/>
                <w:highlight w:val="none"/>
                <w:lang w:val="en-US" w:eastAsia="zh-CN" w:bidi="ar-SA"/>
              </w:rPr>
              <w:t>静态路由、</w:t>
            </w:r>
            <w:r>
              <w:rPr>
                <w:rFonts w:hint="default" w:asciiTheme="minorEastAsia" w:hAnsiTheme="minorEastAsia" w:eastAsiaTheme="minorEastAsia" w:cstheme="minorEastAsia"/>
                <w:color w:val="auto"/>
                <w:sz w:val="24"/>
                <w:szCs w:val="24"/>
                <w:highlight w:val="none"/>
                <w:lang w:val="en-US" w:eastAsia="zh-CN" w:bidi="ar-SA"/>
              </w:rPr>
              <w:t>RIP、OSPF、BGP等路由协议</w:t>
            </w:r>
            <w:r>
              <w:rPr>
                <w:rFonts w:hint="eastAsia" w:asciiTheme="minorEastAsia" w:hAnsiTheme="minorEastAsia" w:eastAsiaTheme="minorEastAsia" w:cstheme="minorEastAsia"/>
                <w:color w:val="auto"/>
                <w:sz w:val="24"/>
                <w:szCs w:val="24"/>
                <w:highlight w:val="none"/>
                <w:lang w:val="en-US" w:eastAsia="zh-CN" w:bidi="ar-SA"/>
              </w:rPr>
              <w:t>。</w:t>
            </w:r>
          </w:p>
          <w:p w14:paraId="239ABB44">
            <w:pPr>
              <w:keepNext w:val="0"/>
              <w:keepLines w:val="0"/>
              <w:pageBreakBefore w:val="0"/>
              <w:widowControl/>
              <w:numPr>
                <w:ilvl w:val="0"/>
                <w:numId w:val="2"/>
              </w:numPr>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default" w:asciiTheme="minorEastAsia" w:hAnsiTheme="minorEastAsia" w:eastAsiaTheme="minorEastAsia" w:cstheme="minorEastAsia"/>
                <w:color w:val="auto"/>
                <w:sz w:val="24"/>
                <w:szCs w:val="24"/>
                <w:highlight w:val="none"/>
                <w:lang w:val="en-US" w:eastAsia="zh-CN" w:bidi="ar-SA"/>
              </w:rPr>
              <w:t>提供链路负载均衡（LLB）功能</w:t>
            </w:r>
            <w:r>
              <w:rPr>
                <w:rFonts w:hint="eastAsia" w:asciiTheme="minorEastAsia" w:hAnsiTheme="minorEastAsia" w:eastAsiaTheme="minorEastAsia" w:cstheme="minorEastAsia"/>
                <w:color w:val="auto"/>
                <w:sz w:val="24"/>
                <w:szCs w:val="24"/>
                <w:highlight w:val="none"/>
                <w:lang w:val="en-US" w:eastAsia="zh-CN" w:bidi="ar-SA"/>
              </w:rPr>
              <w:t>。</w:t>
            </w:r>
          </w:p>
          <w:p w14:paraId="57BAA605">
            <w:pPr>
              <w:keepNext w:val="0"/>
              <w:keepLines w:val="0"/>
              <w:pageBreakBefore w:val="0"/>
              <w:widowControl/>
              <w:numPr>
                <w:ilvl w:val="0"/>
                <w:numId w:val="2"/>
              </w:numPr>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维保：提供3年硬件质保及软件技术支持服务。</w:t>
            </w:r>
          </w:p>
        </w:tc>
        <w:tc>
          <w:tcPr>
            <w:tcW w:w="838" w:type="dxa"/>
            <w:shd w:val="clear" w:color="auto" w:fill="auto"/>
            <w:vAlign w:val="center"/>
          </w:tcPr>
          <w:p w14:paraId="26520E1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1台</w:t>
            </w:r>
          </w:p>
        </w:tc>
      </w:tr>
      <w:tr w14:paraId="7CE1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shd w:val="clear" w:color="auto" w:fill="auto"/>
            <w:vAlign w:val="center"/>
          </w:tcPr>
          <w:p w14:paraId="70621BC5">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525" w:type="dxa"/>
            <w:shd w:val="clear" w:color="auto" w:fill="auto"/>
            <w:vAlign w:val="center"/>
          </w:tcPr>
          <w:p w14:paraId="37E5DE0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外网核心交换机</w:t>
            </w:r>
          </w:p>
        </w:tc>
        <w:tc>
          <w:tcPr>
            <w:tcW w:w="4930" w:type="dxa"/>
            <w:shd w:val="clear" w:color="auto" w:fill="auto"/>
            <w:vAlign w:val="center"/>
          </w:tcPr>
          <w:p w14:paraId="67B20251">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1.硬件架构：业务槽位数≥3个，支持主控、电源、接口模块等关键部件可热插拔。</w:t>
            </w:r>
          </w:p>
          <w:p w14:paraId="4AA6D35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2.硬件性能：交换容量≥68Tbps，包转发率≥51200Mpps。</w:t>
            </w:r>
          </w:p>
          <w:p w14:paraId="0C05B63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3.支持BFD for VRRP/BGP/IS-IS/OSPF/静态路由等，实现各协议的快速故障检测机制，故障检测时间小于50ms。</w:t>
            </w:r>
          </w:p>
          <w:p w14:paraId="78F5B2E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4.支持IPv6静态路由、RIPng、OSPFv3、IS-ISv6、BGP4+、VRRPv3等路由特性。</w:t>
            </w:r>
          </w:p>
          <w:p w14:paraId="0ECFB90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5.内置网管软件，可作为管理设备，支持无线、交换机、路由器等一体化纳管。</w:t>
            </w:r>
          </w:p>
          <w:p w14:paraId="23CF9E3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6.支持单板扩展≥8端口40G以太网光接口(QSFP+)+4端口100G以太网光接口模块(QSFP28)。</w:t>
            </w:r>
          </w:p>
          <w:p w14:paraId="10B65540">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7.支持标准和扩展ACL，支持基于VLAN的ACL，方便用户配置，节省ACL资源，支持出方向和入方向的ACL。</w:t>
            </w:r>
          </w:p>
          <w:p w14:paraId="6C459BA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8.实配单主控引擎，双交流电源模块，≥24个千兆电口，≥4个万兆光口。</w:t>
            </w:r>
          </w:p>
          <w:p w14:paraId="6C162760">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9.维保：提供3年硬件质保及软件技术支持服务。</w:t>
            </w:r>
          </w:p>
        </w:tc>
        <w:tc>
          <w:tcPr>
            <w:tcW w:w="838" w:type="dxa"/>
            <w:shd w:val="clear" w:color="auto" w:fill="auto"/>
            <w:vAlign w:val="center"/>
          </w:tcPr>
          <w:p w14:paraId="093B928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rPr>
              <w:t>台</w:t>
            </w:r>
          </w:p>
        </w:tc>
      </w:tr>
      <w:tr w14:paraId="5486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9" w:type="dxa"/>
            <w:vAlign w:val="center"/>
          </w:tcPr>
          <w:p w14:paraId="3C926E06">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525" w:type="dxa"/>
            <w:vAlign w:val="center"/>
          </w:tcPr>
          <w:p w14:paraId="2DCF9081">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外网汇聚交换机</w:t>
            </w:r>
          </w:p>
        </w:tc>
        <w:tc>
          <w:tcPr>
            <w:tcW w:w="4930" w:type="dxa"/>
            <w:vAlign w:val="center"/>
          </w:tcPr>
          <w:p w14:paraId="33010FF0">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1.整机交换容量≥2.5Tbps，包转发率≥340Mpps，支持≥22个万兆光口，≥8个千兆电口，≥1个USB口。</w:t>
            </w:r>
          </w:p>
          <w:p w14:paraId="048E7D3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2.支持横向虚拟化，支持最大≥9台设备虚拟化。</w:t>
            </w:r>
          </w:p>
          <w:p w14:paraId="23496C0D">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3.支持OPENFLOW 1.3标准。</w:t>
            </w:r>
          </w:p>
          <w:p w14:paraId="372930E1">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4.支持VXLAN二层互通功能、VXLAN 集中式网关三层互通功能、EVPN分布式网关二三层互通功能。</w:t>
            </w:r>
          </w:p>
          <w:p w14:paraId="5C6A082B">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5.支持IPv4静态路由、RIP V1/V2、OSPF、BGP、ISIS；支持IPv6静态路由、RIPng、OSPFv3、BGP4+，支持IPv4和IPv6环境下的策略路由。</w:t>
            </w:r>
          </w:p>
          <w:p w14:paraId="44C25A53">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6.支持VRRPv2/v3（虚拟路由冗余协议)；支持RRPP（快速环网保护协议），环网故障恢复时间不超过200ms。</w:t>
            </w:r>
          </w:p>
          <w:p w14:paraId="4F72CAF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7.支持图形化操作的方式实现对网络的统一运维及管理。</w:t>
            </w:r>
          </w:p>
          <w:p w14:paraId="7E2793B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.维保：提供3年硬件质保及软件技术支持服务。</w:t>
            </w:r>
          </w:p>
        </w:tc>
        <w:tc>
          <w:tcPr>
            <w:tcW w:w="838" w:type="dxa"/>
            <w:vAlign w:val="center"/>
          </w:tcPr>
          <w:p w14:paraId="3F9F919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rPr>
              <w:t>台</w:t>
            </w:r>
          </w:p>
        </w:tc>
      </w:tr>
      <w:tr w14:paraId="1B6E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vAlign w:val="center"/>
          </w:tcPr>
          <w:p w14:paraId="585A966E">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525" w:type="dxa"/>
            <w:vAlign w:val="center"/>
          </w:tcPr>
          <w:p w14:paraId="6CEC223D">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24口外网接入交换机</w:t>
            </w:r>
          </w:p>
        </w:tc>
        <w:tc>
          <w:tcPr>
            <w:tcW w:w="4930" w:type="dxa"/>
            <w:vAlign w:val="center"/>
          </w:tcPr>
          <w:p w14:paraId="4AB3494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1.整机交换容量≥672Gbps，包转发率≥190Mpps；支持≥</w:t>
            </w:r>
            <w:r>
              <w:rPr>
                <w:rFonts w:hint="eastAsia" w:asciiTheme="minorEastAsia" w:hAnsiTheme="minorEastAsia" w:eastAsiaTheme="minorEastAsia" w:cstheme="minorEastAsia"/>
                <w:color w:val="auto"/>
                <w:sz w:val="24"/>
                <w:szCs w:val="24"/>
                <w:highlight w:val="none"/>
                <w:lang w:val="en-US" w:eastAsia="zh-CN"/>
              </w:rPr>
              <w:t>24</w:t>
            </w:r>
            <w:r>
              <w:rPr>
                <w:rFonts w:hint="eastAsia" w:asciiTheme="minorEastAsia" w:hAnsiTheme="minorEastAsia" w:eastAsiaTheme="minorEastAsia" w:cstheme="minorEastAsia"/>
                <w:color w:val="auto"/>
                <w:sz w:val="24"/>
                <w:szCs w:val="24"/>
                <w:highlight w:val="none"/>
              </w:rPr>
              <w:t>个千兆电口，≥4个1G/10G BASE-X SFP+端口。</w:t>
            </w:r>
          </w:p>
          <w:p w14:paraId="1A85940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2.MAC地址表≥16K，IPv4路由表容量≥512，ARP≥1K。</w:t>
            </w:r>
          </w:p>
          <w:p w14:paraId="115DD940">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3.支持IPv4/IPv6静态路由、支持RIP/RIPng，OSPFV2/V3。</w:t>
            </w:r>
          </w:p>
          <w:p w14:paraId="69B08E0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4.交换机支持最大堆叠台数≥9。</w:t>
            </w:r>
          </w:p>
          <w:p w14:paraId="0A5AECE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5.支持G.8032以太网环保护协议ERPS，切换时间≤50ms，可兼容其他支持该协议的产品。</w:t>
            </w:r>
          </w:p>
          <w:p w14:paraId="66A7B83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6.支持≥10KV业务端口防雷能力。</w:t>
            </w:r>
          </w:p>
          <w:p w14:paraId="1E03FCCD">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.维保：提供3年硬件质保及软件技术支持服务。</w:t>
            </w:r>
          </w:p>
        </w:tc>
        <w:tc>
          <w:tcPr>
            <w:tcW w:w="838" w:type="dxa"/>
            <w:vAlign w:val="center"/>
          </w:tcPr>
          <w:p w14:paraId="591E1FC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lang w:val="en-US"/>
              </w:rPr>
              <w:t>台</w:t>
            </w:r>
          </w:p>
        </w:tc>
      </w:tr>
      <w:tr w14:paraId="3B6B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9" w:type="dxa"/>
            <w:vAlign w:val="center"/>
          </w:tcPr>
          <w:p w14:paraId="03B1822C">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525" w:type="dxa"/>
            <w:vAlign w:val="center"/>
          </w:tcPr>
          <w:p w14:paraId="24B1E2F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万兆</w:t>
            </w:r>
            <w:r>
              <w:rPr>
                <w:rFonts w:hint="eastAsia" w:asciiTheme="minorEastAsia" w:hAnsiTheme="minorEastAsia" w:eastAsiaTheme="minorEastAsia" w:cstheme="minorEastAsia"/>
                <w:color w:val="auto"/>
                <w:sz w:val="24"/>
                <w:szCs w:val="24"/>
                <w:highlight w:val="none"/>
                <w:lang w:val="en-US" w:eastAsia="zh-CN"/>
              </w:rPr>
              <w:t>单</w:t>
            </w:r>
            <w:r>
              <w:rPr>
                <w:rFonts w:hint="eastAsia" w:asciiTheme="minorEastAsia" w:hAnsiTheme="minorEastAsia" w:eastAsiaTheme="minorEastAsia" w:cstheme="minorEastAsia"/>
                <w:color w:val="auto"/>
                <w:sz w:val="24"/>
                <w:szCs w:val="24"/>
                <w:highlight w:val="none"/>
                <w:lang w:val="en-US"/>
              </w:rPr>
              <w:t>模光模块</w:t>
            </w:r>
          </w:p>
        </w:tc>
        <w:tc>
          <w:tcPr>
            <w:tcW w:w="4930" w:type="dxa"/>
            <w:vAlign w:val="center"/>
          </w:tcPr>
          <w:p w14:paraId="4DBCE44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万兆</w:t>
            </w:r>
            <w:r>
              <w:rPr>
                <w:rFonts w:hint="eastAsia" w:asciiTheme="minorEastAsia" w:hAnsiTheme="minorEastAsia" w:eastAsiaTheme="minorEastAsia" w:cstheme="minorEastAsia"/>
                <w:color w:val="auto"/>
                <w:sz w:val="24"/>
                <w:szCs w:val="24"/>
                <w:highlight w:val="none"/>
                <w:lang w:val="en-US" w:eastAsia="zh-CN"/>
              </w:rPr>
              <w:t>单</w:t>
            </w:r>
            <w:r>
              <w:rPr>
                <w:rFonts w:hint="eastAsia" w:asciiTheme="minorEastAsia" w:hAnsiTheme="minorEastAsia" w:eastAsiaTheme="minorEastAsia" w:cstheme="minorEastAsia"/>
                <w:color w:val="auto"/>
                <w:sz w:val="24"/>
                <w:szCs w:val="24"/>
                <w:highlight w:val="none"/>
              </w:rPr>
              <w:t>模光模块，传输波长</w:t>
            </w:r>
            <w:r>
              <w:rPr>
                <w:rFonts w:hint="eastAsia" w:asciiTheme="minorEastAsia" w:hAnsiTheme="minorEastAsia" w:eastAsiaTheme="minorEastAsia" w:cstheme="minorEastAsia"/>
                <w:color w:val="auto"/>
                <w:sz w:val="24"/>
                <w:szCs w:val="24"/>
                <w:highlight w:val="none"/>
                <w:lang w:val="en-US" w:eastAsia="zh-CN"/>
              </w:rPr>
              <w:t>131</w:t>
            </w:r>
            <w:r>
              <w:rPr>
                <w:rFonts w:hint="eastAsia" w:asciiTheme="minorEastAsia" w:hAnsiTheme="minorEastAsia" w:eastAsiaTheme="minorEastAsia" w:cstheme="minorEastAsia"/>
                <w:color w:val="auto"/>
                <w:sz w:val="24"/>
                <w:szCs w:val="24"/>
                <w:highlight w:val="none"/>
              </w:rPr>
              <w:t>0nm，最大传输距离</w:t>
            </w:r>
            <w:r>
              <w:rPr>
                <w:rFonts w:hint="eastAsia" w:asciiTheme="minorEastAsia" w:hAnsiTheme="minorEastAsia" w:eastAsiaTheme="minorEastAsia" w:cstheme="minorEastAsia"/>
                <w:color w:val="auto"/>
                <w:sz w:val="24"/>
                <w:szCs w:val="24"/>
                <w:highlight w:val="none"/>
                <w:lang w:val="en-US" w:eastAsia="zh-CN"/>
              </w:rPr>
              <w:t>10k</w:t>
            </w:r>
            <w:r>
              <w:rPr>
                <w:rFonts w:hint="eastAsia" w:asciiTheme="minorEastAsia" w:hAnsiTheme="minorEastAsia" w:eastAsiaTheme="minorEastAsia" w:cstheme="minorEastAsia"/>
                <w:color w:val="auto"/>
                <w:sz w:val="24"/>
                <w:szCs w:val="24"/>
                <w:highlight w:val="none"/>
              </w:rPr>
              <w:t>m，LC接口，含3年硬件质保。</w:t>
            </w:r>
          </w:p>
        </w:tc>
        <w:tc>
          <w:tcPr>
            <w:tcW w:w="838" w:type="dxa"/>
            <w:vAlign w:val="center"/>
          </w:tcPr>
          <w:p w14:paraId="131B055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24</w:t>
            </w:r>
            <w:r>
              <w:rPr>
                <w:rFonts w:hint="eastAsia" w:asciiTheme="minorEastAsia" w:hAnsiTheme="minorEastAsia" w:eastAsiaTheme="minorEastAsia" w:cstheme="minorEastAsia"/>
                <w:color w:val="auto"/>
                <w:sz w:val="24"/>
                <w:szCs w:val="24"/>
                <w:highlight w:val="none"/>
                <w:lang w:val="en-US"/>
              </w:rPr>
              <w:t>个</w:t>
            </w:r>
          </w:p>
        </w:tc>
      </w:tr>
      <w:tr w14:paraId="042A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9" w:type="dxa"/>
            <w:shd w:val="clear" w:color="auto" w:fill="auto"/>
            <w:vAlign w:val="center"/>
          </w:tcPr>
          <w:p w14:paraId="4BEB9471">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6</w:t>
            </w:r>
          </w:p>
        </w:tc>
        <w:tc>
          <w:tcPr>
            <w:tcW w:w="1525" w:type="dxa"/>
            <w:shd w:val="clear" w:color="auto" w:fill="auto"/>
            <w:vAlign w:val="center"/>
          </w:tcPr>
          <w:p w14:paraId="014E969B">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网络改造实施服务</w:t>
            </w:r>
          </w:p>
        </w:tc>
        <w:tc>
          <w:tcPr>
            <w:tcW w:w="4930" w:type="dxa"/>
            <w:shd w:val="clear" w:color="auto" w:fill="auto"/>
            <w:vAlign w:val="center"/>
          </w:tcPr>
          <w:p w14:paraId="53E6D4D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提供内外网物理隔离改造综合布线集成服务，包括现有网络信息点功能属性变更，网线标签变更；弱电井交换机网口分配梳理，交换机上联链路变更、调试；包含实施过程中所需使用到的所有辅材。</w:t>
            </w:r>
          </w:p>
        </w:tc>
        <w:tc>
          <w:tcPr>
            <w:tcW w:w="838" w:type="dxa"/>
            <w:shd w:val="clear" w:color="auto" w:fill="auto"/>
            <w:vAlign w:val="center"/>
          </w:tcPr>
          <w:p w14:paraId="398C3E6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1项</w:t>
            </w:r>
          </w:p>
        </w:tc>
      </w:tr>
    </w:tbl>
    <w:p w14:paraId="597F206E">
      <w:pPr>
        <w:pStyle w:val="2"/>
        <w:bidi w:val="0"/>
        <w:ind w:left="432" w:leftChars="0" w:hanging="432" w:firstLineChars="0"/>
      </w:pPr>
      <w:bookmarkStart w:id="4" w:name="_Toc11037"/>
      <w:r>
        <w:rPr>
          <w:rFonts w:hint="eastAsia"/>
          <w:lang w:val="en-US"/>
        </w:rPr>
        <w:t>云计算数据中心设计</w:t>
      </w:r>
      <w:bookmarkEnd w:id="4"/>
    </w:p>
    <w:p w14:paraId="3E479155">
      <w:pPr>
        <w:pStyle w:val="3"/>
        <w:bidi w:val="0"/>
        <w:ind w:left="575" w:leftChars="0" w:hanging="575" w:firstLineChars="0"/>
        <w:rPr>
          <w:rFonts w:hint="eastAsia"/>
        </w:rPr>
      </w:pPr>
      <w:r>
        <w:rPr>
          <w:rFonts w:hint="eastAsia"/>
        </w:rPr>
        <w:t>设计思路</w:t>
      </w:r>
    </w:p>
    <w:p w14:paraId="231F664F">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为满足麻章区人民医院数据中心建设的需要，综合考虑医院的IT基础设施及业务系统现状，可以基于</w:t>
      </w:r>
      <w:r>
        <w:rPr>
          <w:rFonts w:hint="eastAsia" w:ascii="宋体" w:hAnsi="宋体"/>
          <w:color w:val="auto"/>
          <w:highlight w:val="none"/>
          <w:lang w:val="en-US" w:eastAsia="zh-CN"/>
        </w:rPr>
        <w:t>虚拟化技术</w:t>
      </w:r>
      <w:r>
        <w:rPr>
          <w:rFonts w:hint="eastAsia" w:ascii="宋体" w:hAnsi="宋体"/>
          <w:color w:val="auto"/>
          <w:highlight w:val="none"/>
          <w:lang w:val="en-US"/>
        </w:rPr>
        <w:t>进行建设。经过充分评估医院业务系统对计算资源、存储资源及网络带宽的要求，本次医院内网数据中心计划采用</w:t>
      </w:r>
      <w:r>
        <w:rPr>
          <w:rFonts w:hint="eastAsia" w:ascii="宋体" w:hAnsi="宋体"/>
          <w:color w:val="auto"/>
          <w:highlight w:val="none"/>
          <w:lang w:val="en-US" w:eastAsia="zh-CN"/>
        </w:rPr>
        <w:t>基于虚拟化技术的集群</w:t>
      </w:r>
      <w:r>
        <w:rPr>
          <w:rFonts w:hint="eastAsia" w:ascii="宋体" w:hAnsi="宋体"/>
          <w:color w:val="auto"/>
          <w:highlight w:val="none"/>
          <w:lang w:val="en-US"/>
        </w:rPr>
        <w:t>进行建设，建设完成后能够满足医院HIS、LIS、EMR、PACS等近业务系统的使用要求。</w:t>
      </w:r>
    </w:p>
    <w:p w14:paraId="60686CF4">
      <w:pPr>
        <w:pStyle w:val="3"/>
        <w:bidi w:val="0"/>
        <w:ind w:left="575" w:leftChars="0" w:hanging="575" w:firstLineChars="0"/>
        <w:rPr>
          <w:rFonts w:hint="eastAsia"/>
        </w:rPr>
      </w:pPr>
      <w:bookmarkStart w:id="5" w:name="_Toc92897534"/>
      <w:bookmarkStart w:id="6" w:name="_Toc51686817"/>
      <w:bookmarkStart w:id="7" w:name="_Toc151473929"/>
      <w:bookmarkStart w:id="8" w:name="_Toc181174587"/>
      <w:bookmarkStart w:id="9" w:name="_Toc18295"/>
      <w:r>
        <w:rPr>
          <w:rFonts w:hint="eastAsia"/>
          <w:lang w:val="en-US" w:eastAsia="zh-CN"/>
        </w:rPr>
        <w:t>超融合</w:t>
      </w:r>
      <w:r>
        <w:rPr>
          <w:rFonts w:hint="eastAsia"/>
        </w:rPr>
        <w:t>技术</w:t>
      </w:r>
      <w:bookmarkEnd w:id="5"/>
      <w:bookmarkEnd w:id="6"/>
      <w:bookmarkEnd w:id="7"/>
      <w:r>
        <w:rPr>
          <w:rFonts w:hint="eastAsia"/>
        </w:rPr>
        <w:t>架构</w:t>
      </w:r>
      <w:bookmarkEnd w:id="8"/>
      <w:r>
        <w:rPr>
          <w:rFonts w:hint="eastAsia"/>
        </w:rPr>
        <w:t>介绍</w:t>
      </w:r>
      <w:bookmarkEnd w:id="9"/>
    </w:p>
    <w:p w14:paraId="29AD1974">
      <w:pPr>
        <w:widowControl w:val="0"/>
        <w:ind w:firstLine="480" w:firstLineChars="200"/>
        <w:rPr>
          <w:rFonts w:ascii="宋体" w:hAnsi="宋体"/>
          <w:color w:val="auto"/>
          <w:highlight w:val="none"/>
          <w:lang w:val="en-US"/>
        </w:rPr>
      </w:pPr>
      <w:r>
        <w:rPr>
          <w:rFonts w:hint="eastAsia" w:ascii="宋体" w:hAnsi="宋体"/>
          <w:color w:val="auto"/>
          <w:highlight w:val="none"/>
          <w:lang w:val="en-US" w:eastAsia="zh-CN"/>
        </w:rPr>
        <w:t>超融合</w:t>
      </w:r>
      <w:r>
        <w:rPr>
          <w:rFonts w:hint="eastAsia" w:ascii="宋体" w:hAnsi="宋体"/>
          <w:color w:val="auto"/>
          <w:highlight w:val="none"/>
          <w:lang w:val="en-US"/>
        </w:rPr>
        <w:t>技术是一种将计算机的各种物理资源如 CPU、内存以及磁盘空间、网络适配器等予以抽象、转换，然后呈现出来的一个可供分割并任意组合为一个或多个虚拟计算机的配置环境。虚拟化技术打破了传统计算机内部实体结构间不可切割的障碍，平衡硬件自身架构、地域等约束，通过</w:t>
      </w:r>
      <w:r>
        <w:rPr>
          <w:rFonts w:hint="eastAsia" w:ascii="宋体" w:hAnsi="宋体"/>
          <w:color w:val="auto"/>
          <w:highlight w:val="none"/>
          <w:lang w:val="en-US" w:eastAsia="zh-CN"/>
        </w:rPr>
        <w:t>超融合</w:t>
      </w:r>
      <w:r>
        <w:rPr>
          <w:rFonts w:hint="eastAsia" w:ascii="宋体" w:hAnsi="宋体"/>
          <w:color w:val="auto"/>
          <w:highlight w:val="none"/>
          <w:lang w:val="en-US"/>
        </w:rPr>
        <w:t xml:space="preserve">技术用户能够更好应用这些计算机硬件资源。 </w:t>
      </w:r>
    </w:p>
    <w:p w14:paraId="11A6FF65">
      <w:pPr>
        <w:pStyle w:val="5"/>
        <w:bidi w:val="0"/>
        <w:ind w:left="720" w:leftChars="0" w:hanging="720" w:firstLineChars="0"/>
      </w:pPr>
      <w:bookmarkStart w:id="10" w:name="_Toc104022719"/>
      <w:bookmarkEnd w:id="10"/>
      <w:bookmarkStart w:id="11" w:name="_Toc181174588"/>
      <w:bookmarkStart w:id="12" w:name="_Toc92897536"/>
      <w:bookmarkStart w:id="13" w:name="_Toc151473931"/>
      <w:r>
        <w:rPr>
          <w:rFonts w:hint="eastAsia"/>
        </w:rPr>
        <w:t>硬件资源层</w:t>
      </w:r>
      <w:bookmarkEnd w:id="11"/>
      <w:bookmarkEnd w:id="12"/>
      <w:bookmarkEnd w:id="13"/>
    </w:p>
    <w:p w14:paraId="602A8A64">
      <w:pPr>
        <w:widowControl w:val="0"/>
        <w:ind w:firstLine="480" w:firstLineChars="200"/>
        <w:rPr>
          <w:rFonts w:ascii="宋体" w:hAnsi="宋体"/>
          <w:color w:val="auto"/>
          <w:highlight w:val="none"/>
          <w:lang w:val="en-US"/>
        </w:rPr>
      </w:pPr>
      <w:r>
        <w:rPr>
          <w:rFonts w:hint="eastAsia" w:ascii="宋体" w:hAnsi="宋体"/>
          <w:color w:val="auto"/>
          <w:highlight w:val="none"/>
          <w:lang w:val="en-US"/>
        </w:rPr>
        <w:t>以通用的X86/ARM服务器为标准载体，将硬件资源虚拟化，从而使一台物理服务器可以承担多台服务器的工作。整个数据中心只需要通用的服务器</w:t>
      </w:r>
      <w:r>
        <w:rPr>
          <w:rFonts w:hint="eastAsia" w:ascii="宋体" w:hAnsi="宋体"/>
          <w:color w:val="auto"/>
          <w:highlight w:val="none"/>
          <w:lang w:val="en-US" w:eastAsia="zh-CN"/>
        </w:rPr>
        <w:t>、</w:t>
      </w:r>
      <w:r>
        <w:rPr>
          <w:rFonts w:hint="eastAsia" w:ascii="宋体" w:hAnsi="宋体"/>
          <w:color w:val="auto"/>
          <w:highlight w:val="none"/>
          <w:lang w:val="en-US"/>
        </w:rPr>
        <w:t>交换机硬件，通过计算、存储、网络、安全和管理的完全软件定义，即可替代复杂的传统基础架构，实现了架构的极简化。</w:t>
      </w:r>
    </w:p>
    <w:p w14:paraId="67B4909E">
      <w:pPr>
        <w:pStyle w:val="5"/>
        <w:bidi w:val="0"/>
        <w:ind w:left="720" w:leftChars="0" w:hanging="720" w:firstLineChars="0"/>
      </w:pPr>
      <w:bookmarkStart w:id="14" w:name="_Toc104022721"/>
      <w:bookmarkEnd w:id="14"/>
      <w:bookmarkStart w:id="15" w:name="_Toc181174589"/>
      <w:r>
        <w:rPr>
          <w:rFonts w:hint="eastAsia"/>
        </w:rPr>
        <w:t>技术实现层</w:t>
      </w:r>
      <w:bookmarkEnd w:id="15"/>
    </w:p>
    <w:p w14:paraId="7EF41508">
      <w:pPr>
        <w:widowControl w:val="0"/>
        <w:ind w:firstLine="480" w:firstLineChars="200"/>
        <w:rPr>
          <w:rFonts w:ascii="宋体" w:hAnsi="宋体"/>
          <w:color w:val="auto"/>
          <w:highlight w:val="none"/>
          <w:lang w:val="en-US"/>
        </w:rPr>
      </w:pPr>
      <w:r>
        <w:rPr>
          <w:rFonts w:hint="eastAsia" w:ascii="宋体" w:hAnsi="宋体"/>
          <w:color w:val="auto"/>
          <w:highlight w:val="none"/>
          <w:lang w:val="en-US"/>
        </w:rPr>
        <w:t>将</w:t>
      </w:r>
      <w:r>
        <w:rPr>
          <w:rFonts w:hint="eastAsia" w:ascii="宋体" w:hAnsi="宋体"/>
          <w:color w:val="auto"/>
          <w:highlight w:val="none"/>
          <w:lang w:val="en-US" w:eastAsia="zh-CN"/>
        </w:rPr>
        <w:t>计算</w:t>
      </w:r>
      <w:r>
        <w:rPr>
          <w:rFonts w:hint="eastAsia" w:ascii="宋体" w:hAnsi="宋体"/>
          <w:color w:val="auto"/>
          <w:highlight w:val="none"/>
          <w:lang w:val="en-US"/>
        </w:rPr>
        <w:t>虚拟化、存储</w:t>
      </w:r>
      <w:r>
        <w:rPr>
          <w:rFonts w:hint="eastAsia" w:ascii="宋体" w:hAnsi="宋体"/>
          <w:color w:val="auto"/>
          <w:highlight w:val="none"/>
          <w:lang w:val="en-US" w:eastAsia="zh-CN"/>
        </w:rPr>
        <w:t>虚拟化</w:t>
      </w:r>
      <w:r>
        <w:rPr>
          <w:rFonts w:hint="eastAsia" w:ascii="宋体" w:hAnsi="宋体"/>
          <w:color w:val="auto"/>
          <w:highlight w:val="none"/>
          <w:lang w:val="en-US"/>
        </w:rPr>
        <w:t>、网络虚拟化等几大主流虚拟化技术进行深度融合，利用</w:t>
      </w:r>
      <w:r>
        <w:rPr>
          <w:rFonts w:hint="eastAsia" w:ascii="宋体" w:hAnsi="宋体"/>
          <w:color w:val="auto"/>
          <w:highlight w:val="none"/>
          <w:lang w:val="en-US" w:eastAsia="zh-CN"/>
        </w:rPr>
        <w:t>虚拟化</w:t>
      </w:r>
      <w:r>
        <w:rPr>
          <w:rFonts w:hint="eastAsia" w:ascii="宋体" w:hAnsi="宋体"/>
          <w:color w:val="auto"/>
          <w:highlight w:val="none"/>
          <w:lang w:val="en-US"/>
        </w:rPr>
        <w:t>技术对底层硬件进行全虚拟化，从而将服务器集群所包含的计算、存储、网络资源进行池化 , 形成虚拟资源池。</w:t>
      </w:r>
    </w:p>
    <w:p w14:paraId="498F23B8">
      <w:pPr>
        <w:widowControl w:val="0"/>
        <w:ind w:firstLine="480" w:firstLineChars="200"/>
        <w:rPr>
          <w:rFonts w:ascii="宋体" w:hAnsi="宋体"/>
          <w:color w:val="auto"/>
          <w:highlight w:val="none"/>
          <w:lang w:val="en-US"/>
        </w:rPr>
      </w:pPr>
      <w:r>
        <w:rPr>
          <w:rFonts w:hint="eastAsia" w:ascii="宋体" w:hAnsi="宋体"/>
          <w:color w:val="auto"/>
          <w:highlight w:val="none"/>
          <w:lang w:val="en-US" w:eastAsia="zh-CN"/>
        </w:rPr>
        <w:t>计算</w:t>
      </w:r>
      <w:r>
        <w:rPr>
          <w:rFonts w:hint="eastAsia" w:ascii="宋体" w:hAnsi="宋体"/>
          <w:color w:val="auto"/>
          <w:highlight w:val="none"/>
          <w:lang w:val="en-US"/>
        </w:rPr>
        <w:t>虚拟化：</w:t>
      </w:r>
      <w:r>
        <w:rPr>
          <w:rFonts w:hint="eastAsia" w:ascii="宋体" w:hAnsi="宋体"/>
          <w:color w:val="auto"/>
          <w:highlight w:val="none"/>
          <w:lang w:val="en-US" w:eastAsia="zh-CN"/>
        </w:rPr>
        <w:t>计算</w:t>
      </w:r>
      <w:r>
        <w:rPr>
          <w:rFonts w:hint="eastAsia" w:ascii="宋体" w:hAnsi="宋体"/>
          <w:color w:val="auto"/>
          <w:highlight w:val="none"/>
          <w:lang w:val="en-US"/>
        </w:rPr>
        <w:t>虚拟化技术将一台物理服务器分割成多台相互隔离的虚拟服务器。通过将物理资源（如CPU、内存、磁盘和I/O等）抽象成逻辑资源，服务器虚拟化实现了资源的动态管理，提高了资源利用率，简化了系统管理，并使IT对业务的变化更具适应力。</w:t>
      </w:r>
    </w:p>
    <w:p w14:paraId="58F1DA02">
      <w:pPr>
        <w:widowControl w:val="0"/>
        <w:ind w:firstLine="480" w:firstLineChars="200"/>
        <w:rPr>
          <w:rFonts w:ascii="宋体" w:hAnsi="宋体"/>
          <w:color w:val="auto"/>
          <w:highlight w:val="none"/>
          <w:lang w:val="en-US"/>
        </w:rPr>
      </w:pPr>
      <w:r>
        <w:rPr>
          <w:rFonts w:hint="eastAsia" w:ascii="宋体" w:hAnsi="宋体"/>
          <w:color w:val="auto"/>
          <w:highlight w:val="none"/>
          <w:lang w:val="en-US"/>
        </w:rPr>
        <w:t>分布式存储：分布式存储是一种数据存储方式，它将数据分散存储在多台独立的设备上，而不是集中存储在一台设备上。这种存储方式具有可扩展性、冗余性、节省成本和性能优势。传统的网络存储系统采用集中的存储服务器存放所有数据，存储服务器成为系统性能的瓶颈，也是可靠性和安全性的焦点。而分布式存储系统通过将数据分散存储在多台设备上，利用这些设备共同承担存储任务，提高了系统的可靠性、可用性和存取效率，并易于扩展。</w:t>
      </w:r>
    </w:p>
    <w:p w14:paraId="2E719D25">
      <w:pPr>
        <w:widowControl w:val="0"/>
        <w:ind w:firstLine="480" w:firstLineChars="200"/>
        <w:rPr>
          <w:rFonts w:ascii="宋体" w:hAnsi="宋体"/>
          <w:color w:val="auto"/>
          <w:highlight w:val="none"/>
          <w:lang w:val="en-US"/>
        </w:rPr>
      </w:pPr>
      <w:r>
        <w:rPr>
          <w:rFonts w:hint="eastAsia" w:ascii="宋体" w:hAnsi="宋体"/>
          <w:color w:val="auto"/>
          <w:highlight w:val="none"/>
          <w:lang w:val="en-US"/>
        </w:rPr>
        <w:t>网络虚拟化：</w:t>
      </w:r>
      <w:r>
        <w:rPr>
          <w:rFonts w:hint="eastAsia" w:ascii="宋体" w:hAnsi="宋体"/>
          <w:color w:val="auto"/>
          <w:highlight w:val="none"/>
          <w:lang w:val="en-US" w:eastAsia="zh-CN"/>
        </w:rPr>
        <w:t>通过运行分布式虚拟交换机</w:t>
      </w:r>
      <w:r>
        <w:rPr>
          <w:rFonts w:hint="eastAsia" w:ascii="宋体" w:hAnsi="宋体"/>
          <w:color w:val="auto"/>
          <w:highlight w:val="none"/>
          <w:lang w:val="en-US"/>
        </w:rPr>
        <w:t>，允许网络资源（如交换机、路由器、防火墙等）通过软件进行配置和管理。</w:t>
      </w:r>
    </w:p>
    <w:p w14:paraId="489822FD">
      <w:pPr>
        <w:pStyle w:val="5"/>
        <w:bidi w:val="0"/>
        <w:ind w:left="720" w:leftChars="0" w:hanging="720" w:firstLineChars="0"/>
      </w:pPr>
      <w:bookmarkStart w:id="16" w:name="_Toc104022723"/>
      <w:bookmarkEnd w:id="16"/>
      <w:bookmarkStart w:id="17" w:name="_Toc181174590"/>
      <w:r>
        <w:rPr>
          <w:rFonts w:hint="eastAsia"/>
        </w:rPr>
        <w:t>虚拟资源层</w:t>
      </w:r>
      <w:bookmarkEnd w:id="17"/>
    </w:p>
    <w:p w14:paraId="4BD8F1BD">
      <w:pPr>
        <w:widowControl w:val="0"/>
        <w:ind w:firstLine="480" w:firstLineChars="200"/>
        <w:rPr>
          <w:rFonts w:ascii="宋体" w:hAnsi="宋体"/>
          <w:color w:val="auto"/>
          <w:highlight w:val="none"/>
          <w:lang w:val="en-US"/>
        </w:rPr>
      </w:pPr>
      <w:r>
        <w:rPr>
          <w:rFonts w:hint="eastAsia" w:ascii="宋体" w:hAnsi="宋体"/>
          <w:color w:val="auto"/>
          <w:highlight w:val="none"/>
          <w:lang w:val="en-US"/>
        </w:rPr>
        <w:t>从虚拟资源池获取相应的资源进行实例化，为应用提供丰富的虚拟化实例（虚拟机、虚机存储、虚拟交换机等），从而大幅减少了专有硬件采购数量，降低总体投资成本，提高了业务部署、调整的速度和整体运维效率。</w:t>
      </w:r>
    </w:p>
    <w:p w14:paraId="5E926169">
      <w:pPr>
        <w:pStyle w:val="5"/>
        <w:bidi w:val="0"/>
        <w:ind w:left="720" w:leftChars="0" w:hanging="720" w:firstLineChars="0"/>
      </w:pPr>
      <w:bookmarkStart w:id="18" w:name="_Toc181174591"/>
      <w:r>
        <w:rPr>
          <w:rFonts w:hint="eastAsia"/>
        </w:rPr>
        <w:t>集中管理层</w:t>
      </w:r>
      <w:bookmarkEnd w:id="18"/>
    </w:p>
    <w:p w14:paraId="15FC6EF6">
      <w:pPr>
        <w:widowControl w:val="0"/>
        <w:ind w:firstLine="480" w:firstLineChars="200"/>
        <w:rPr>
          <w:rFonts w:ascii="宋体" w:hAnsi="宋体"/>
          <w:color w:val="auto"/>
          <w:highlight w:val="none"/>
          <w:lang w:val="en-US"/>
        </w:rPr>
      </w:pPr>
      <w:r>
        <w:rPr>
          <w:rFonts w:hint="eastAsia" w:ascii="宋体" w:hAnsi="宋体"/>
          <w:color w:val="auto"/>
          <w:highlight w:val="none"/>
          <w:lang w:val="en-US"/>
        </w:rPr>
        <w:t>通过集中式资源管理软件，对底层硬件资源、虚拟资源池和虚拟实例进行统一管理、监控，并支持为不同类型应用灵活分配资源。主要负责整个</w:t>
      </w:r>
      <w:r>
        <w:rPr>
          <w:rFonts w:hint="eastAsia" w:ascii="宋体" w:hAnsi="宋体"/>
          <w:color w:val="auto"/>
          <w:highlight w:val="none"/>
          <w:lang w:val="en-US" w:eastAsia="zh-CN"/>
        </w:rPr>
        <w:t>虚拟化</w:t>
      </w:r>
      <w:r>
        <w:rPr>
          <w:rFonts w:hint="eastAsia" w:ascii="宋体" w:hAnsi="宋体"/>
          <w:color w:val="auto"/>
          <w:highlight w:val="none"/>
          <w:lang w:val="en-US"/>
        </w:rPr>
        <w:t>架构的资源管理、服务管理、系统监控、安全管理和自动化运维，有助于简化数据中心的运营管理，提高效率，降低成本。</w:t>
      </w:r>
    </w:p>
    <w:p w14:paraId="5348887F">
      <w:pPr>
        <w:pStyle w:val="3"/>
        <w:bidi w:val="0"/>
        <w:ind w:left="575" w:leftChars="0" w:hanging="575" w:firstLineChars="0"/>
        <w:rPr>
          <w:rFonts w:hint="eastAsia"/>
        </w:rPr>
      </w:pPr>
      <w:bookmarkStart w:id="19" w:name="_Toc31493"/>
      <w:bookmarkStart w:id="20" w:name="_Toc54343060"/>
      <w:r>
        <w:rPr>
          <w:rFonts w:hint="eastAsia"/>
          <w:lang w:val="en-US" w:eastAsia="zh-CN"/>
        </w:rPr>
        <w:t>虚拟化技术</w:t>
      </w:r>
      <w:r>
        <w:rPr>
          <w:rFonts w:hint="eastAsia"/>
        </w:rPr>
        <w:t>架构可行性分析</w:t>
      </w:r>
      <w:bookmarkEnd w:id="19"/>
      <w:bookmarkEnd w:id="20"/>
    </w:p>
    <w:p w14:paraId="6E5BE45A">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虚拟化技术是指通过虚拟化软件将物理服务器的计算资源（CPU、内存）、存储资源和网络资源进行抽象与池化，在一台物理服务器上虚拟出多台相互隔离、可独立运行的虚拟机（VM），并对虚拟机的CPU、内存、硬盘、网卡等资源进行动态配置与管理。虚拟化技术是实现 "软件定义数据中心" 的基础技术途径，打破了传统</w:t>
      </w:r>
      <w:r>
        <w:rPr>
          <w:rFonts w:hint="eastAsia" w:ascii="宋体" w:hAnsi="宋体"/>
          <w:color w:val="auto"/>
          <w:highlight w:val="none"/>
          <w:lang w:val="en-US" w:eastAsia="zh-CN"/>
        </w:rPr>
        <w:t>“</w:t>
      </w:r>
      <w:r>
        <w:rPr>
          <w:rFonts w:hint="eastAsia" w:ascii="宋体" w:hAnsi="宋体"/>
          <w:color w:val="auto"/>
          <w:highlight w:val="none"/>
          <w:lang w:val="en-US"/>
        </w:rPr>
        <w:t>一台物理服务器运行一个业务系统</w:t>
      </w:r>
      <w:r>
        <w:rPr>
          <w:rFonts w:hint="eastAsia" w:ascii="宋体" w:hAnsi="宋体"/>
          <w:color w:val="auto"/>
          <w:highlight w:val="none"/>
          <w:lang w:val="en-US" w:eastAsia="zh-CN"/>
        </w:rPr>
        <w:t>”</w:t>
      </w:r>
      <w:r>
        <w:rPr>
          <w:rFonts w:hint="eastAsia" w:ascii="宋体" w:hAnsi="宋体"/>
          <w:color w:val="auto"/>
          <w:highlight w:val="none"/>
          <w:lang w:val="en-US"/>
        </w:rPr>
        <w:t>的竖井式部署模式，将物理资源转化为可按需分配、弹性伸缩的逻辑资源池。虚拟化技术可以为医院的数据中心带来更优的资源利用率、灵活性、可管理性和可靠性，在统一的虚拟化平台上承载医院各类业务系统，使整个IT架构更清晰、更高效。</w:t>
      </w:r>
    </w:p>
    <w:p w14:paraId="58B3D149">
      <w:pPr>
        <w:widowControl w:val="0"/>
        <w:ind w:firstLine="480" w:firstLineChars="200"/>
        <w:rPr>
          <w:rFonts w:ascii="宋体" w:hAnsi="宋体"/>
          <w:color w:val="auto"/>
          <w:highlight w:val="none"/>
          <w:lang w:val="en-US"/>
        </w:rPr>
      </w:pPr>
      <w:r>
        <w:rPr>
          <w:rFonts w:hint="eastAsia" w:ascii="宋体" w:hAnsi="宋体"/>
          <w:color w:val="auto"/>
          <w:highlight w:val="none"/>
          <w:lang w:val="en-US"/>
        </w:rPr>
        <w:t>虚拟化技术架构在数据中心中承担着计算资源池化的核心作用，通过软件定义的计算资源虚拟化以及高可用（HA）、在线热迁移、资源动态调度等能力，实现资源按需分配、业务连续性保障和无单点故障风险。</w:t>
      </w:r>
    </w:p>
    <w:p w14:paraId="1364DA9F">
      <w:pPr>
        <w:pStyle w:val="5"/>
        <w:bidi w:val="0"/>
        <w:ind w:left="720" w:leftChars="0" w:hanging="720" w:firstLineChars="0"/>
      </w:pPr>
      <w:r>
        <w:rPr>
          <w:rFonts w:hint="eastAsia"/>
        </w:rPr>
        <w:t>先进性分析</w:t>
      </w:r>
    </w:p>
    <w:p w14:paraId="764EE340">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目前大部分医院数据中心还处于传统的物理服务器架构，即</w:t>
      </w:r>
      <w:r>
        <w:rPr>
          <w:rFonts w:hint="eastAsia" w:ascii="宋体" w:hAnsi="宋体"/>
          <w:color w:val="auto"/>
          <w:highlight w:val="none"/>
          <w:lang w:val="en-US" w:eastAsia="zh-CN"/>
        </w:rPr>
        <w:t>“</w:t>
      </w:r>
      <w:r>
        <w:rPr>
          <w:rFonts w:hint="eastAsia" w:ascii="宋体" w:hAnsi="宋体"/>
          <w:color w:val="auto"/>
          <w:highlight w:val="none"/>
          <w:lang w:val="en-US"/>
        </w:rPr>
        <w:t>一台物理服务器对应一套业务系统</w:t>
      </w:r>
      <w:r>
        <w:rPr>
          <w:rFonts w:hint="eastAsia" w:ascii="宋体" w:hAnsi="宋体"/>
          <w:color w:val="auto"/>
          <w:highlight w:val="none"/>
          <w:lang w:val="en-US" w:eastAsia="zh-CN"/>
        </w:rPr>
        <w:t>”</w:t>
      </w:r>
      <w:r>
        <w:rPr>
          <w:rFonts w:hint="eastAsia" w:ascii="宋体" w:hAnsi="宋体"/>
          <w:color w:val="auto"/>
          <w:highlight w:val="none"/>
          <w:lang w:val="en-US"/>
        </w:rPr>
        <w:t>的应用模式，每新增一个业务系统就需要购置一台专用物理服务器，同时需要配套相应的操作系统安装、应用部署和运维管理，硬件资源利用率低，使用、维护和管理的成本很高。</w:t>
      </w:r>
    </w:p>
    <w:p w14:paraId="05D04168">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虚拟化技术架构建立在标准的通用服务器硬件平台之上，通过虚拟化软件将物理服务器的计算资源抽象为统一的资源池，所有业务系统均部署在虚拟机上，由统一的虚拟化管理平台对计算、存储和网络资源进行集中管理和动态调配。</w:t>
      </w:r>
    </w:p>
    <w:p w14:paraId="6B251103">
      <w:pPr>
        <w:widowControl w:val="0"/>
        <w:ind w:firstLine="480" w:firstLineChars="200"/>
        <w:rPr>
          <w:rFonts w:ascii="宋体" w:hAnsi="宋体"/>
          <w:color w:val="auto"/>
          <w:highlight w:val="none"/>
          <w:lang w:val="en-US"/>
        </w:rPr>
      </w:pPr>
      <w:r>
        <w:rPr>
          <w:rFonts w:hint="eastAsia" w:ascii="宋体" w:hAnsi="宋体"/>
          <w:color w:val="auto"/>
          <w:highlight w:val="none"/>
          <w:lang w:val="en-US"/>
        </w:rPr>
        <w:t>同时，虚拟化技术架构支持将多台物理服务器组建为资源集群，实现资源的统一调度和按需分配，可以为医院数据中心提供更优的资源利用率、灵活性、可用性和成本效益，极大简化医院IT系统的部署与管理。</w:t>
      </w:r>
    </w:p>
    <w:p w14:paraId="4F449747">
      <w:pPr>
        <w:pStyle w:val="5"/>
        <w:bidi w:val="0"/>
        <w:ind w:left="720" w:leftChars="0" w:hanging="720" w:firstLineChars="0"/>
      </w:pPr>
      <w:r>
        <w:rPr>
          <w:rFonts w:hint="eastAsia"/>
        </w:rPr>
        <w:t>可靠性分析</w:t>
      </w:r>
    </w:p>
    <w:p w14:paraId="081BB179">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可靠性对于医院的业务系统而言是最重要的。医院业务系统的连续运行和数据安全不丢失主要依赖数据中心基础架构的可靠性水平。虚拟化技术打破了操作系统及业务应用与单一物理硬件的紧耦合关系，软件系统不再依靠某一单一硬件环境运行。通过虚拟化平台的高可用（HA）机制，当某台物理服务器发生硬件故障时，其上的虚拟机可在其他健康服务器上自动重新启动，业务系统可实现分钟级自动恢复；配合虚拟机在线热迁移技术，硬件维护可在不停机的状态下完成，业务系统的连续性有了极大的提高。</w:t>
      </w:r>
    </w:p>
    <w:p w14:paraId="6FE3A108">
      <w:pPr>
        <w:widowControl w:val="0"/>
        <w:ind w:firstLine="480" w:firstLineChars="200"/>
        <w:rPr>
          <w:rFonts w:ascii="宋体" w:hAnsi="宋体"/>
          <w:color w:val="auto"/>
          <w:highlight w:val="none"/>
          <w:lang w:val="en-US"/>
        </w:rPr>
      </w:pPr>
      <w:r>
        <w:rPr>
          <w:rFonts w:hint="eastAsia" w:ascii="宋体" w:hAnsi="宋体"/>
          <w:color w:val="auto"/>
          <w:highlight w:val="none"/>
          <w:lang w:val="en-US"/>
        </w:rPr>
        <w:t>虚拟化技术架构与集中式存储（如SAN存储）相结合，存储系统采用 RAID 冗余以及快照、备份等数据保护机制，不但可以避免因硬件故障导致的数据丢失风险，还可以防止因病毒或人为误操作造成的核心业务数据丢失，并可实现虚拟机粒度的快速备份与恢复。</w:t>
      </w:r>
    </w:p>
    <w:p w14:paraId="5A1472D5">
      <w:pPr>
        <w:pStyle w:val="5"/>
        <w:bidi w:val="0"/>
        <w:ind w:left="720" w:leftChars="0" w:hanging="720" w:firstLineChars="0"/>
      </w:pPr>
      <w:r>
        <w:rPr>
          <w:rFonts w:hint="eastAsia"/>
        </w:rPr>
        <w:t>扩展性分析</w:t>
      </w:r>
    </w:p>
    <w:p w14:paraId="370723E0">
      <w:pPr>
        <w:ind w:firstLine="480" w:firstLineChars="200"/>
        <w:rPr>
          <w:rFonts w:hint="eastAsia" w:ascii="宋体" w:hAnsi="宋体"/>
          <w:color w:val="auto"/>
          <w:highlight w:val="none"/>
          <w:lang w:val="en-US"/>
        </w:rPr>
      </w:pPr>
      <w:r>
        <w:rPr>
          <w:rFonts w:hint="eastAsia" w:ascii="宋体" w:hAnsi="宋体"/>
          <w:color w:val="auto"/>
          <w:highlight w:val="none"/>
          <w:lang w:val="en-US"/>
        </w:rPr>
        <w:t>在医院传统的数据中心架构中，如果业务系统增加、需要扩展计算资源时，需要采购新的物理服务器，并提前规划好操作系统、分区、存储空间占用、上架安装和安装应用软件等一系列操作，部署周期长、工作量大；当物理服务器资源不足时，往往需要停机或迁移业务系统，在一定程度上会影响生产系统的业务连续性及工作效率。</w:t>
      </w:r>
    </w:p>
    <w:p w14:paraId="35F6DF08">
      <w:pPr>
        <w:ind w:firstLine="480" w:firstLineChars="200"/>
        <w:rPr>
          <w:rFonts w:ascii="宋体" w:hAnsi="宋体"/>
          <w:color w:val="auto"/>
          <w:highlight w:val="none"/>
          <w:lang w:val="en-US"/>
        </w:rPr>
      </w:pPr>
      <w:r>
        <w:rPr>
          <w:rFonts w:hint="eastAsia" w:ascii="宋体" w:hAnsi="宋体"/>
          <w:color w:val="auto"/>
          <w:highlight w:val="none"/>
          <w:lang w:val="en-US"/>
        </w:rPr>
        <w:t>虚拟化技术架构无须停机便可向现有资源集群中无缝地添加新的物理服务器，新服务器加入后自动被虚拟化管理平台纳管并纳入资源池，计算资源可以实现按需线性扩展；同时虚拟机的在线热迁移能力使得资源调度更加灵活，可以在不停机的情况下实现资源在集群内的动态调配。动态集群的方法使得计算资源能够按需扩展，无须过度部署基础设施，使系统扩展不存在任何不确定性。</w:t>
      </w:r>
    </w:p>
    <w:p w14:paraId="245A1046">
      <w:pPr>
        <w:pStyle w:val="5"/>
        <w:bidi w:val="0"/>
        <w:ind w:left="720" w:leftChars="0" w:hanging="720" w:firstLineChars="0"/>
      </w:pPr>
      <w:r>
        <w:rPr>
          <w:rFonts w:hint="eastAsia"/>
          <w:lang w:val="en-US" w:eastAsia="zh-CN"/>
        </w:rPr>
        <w:t>超融合</w:t>
      </w:r>
      <w:r>
        <w:rPr>
          <w:rFonts w:hint="eastAsia"/>
        </w:rPr>
        <w:t>架构优势</w:t>
      </w:r>
    </w:p>
    <w:p w14:paraId="4D44764D">
      <w:pPr>
        <w:widowControl w:val="0"/>
        <w:numPr>
          <w:ilvl w:val="0"/>
          <w:numId w:val="0"/>
        </w:numPr>
        <w:ind w:leftChars="200"/>
        <w:rPr>
          <w:rFonts w:hint="eastAsia" w:ascii="宋体" w:hAnsi="宋体"/>
          <w:color w:val="auto"/>
          <w:highlight w:val="none"/>
          <w:lang w:val="en-US"/>
        </w:rPr>
      </w:pPr>
      <w:r>
        <w:rPr>
          <w:rFonts w:hint="eastAsia" w:ascii="宋体" w:hAnsi="宋体"/>
          <w:color w:val="auto"/>
          <w:highlight w:val="none"/>
          <w:lang w:val="en-US" w:eastAsia="zh-CN"/>
        </w:rPr>
        <w:t>超融合</w:t>
      </w:r>
      <w:r>
        <w:rPr>
          <w:rFonts w:hint="eastAsia" w:ascii="宋体" w:hAnsi="宋体"/>
          <w:color w:val="auto"/>
          <w:highlight w:val="none"/>
          <w:lang w:val="en-US"/>
        </w:rPr>
        <w:t>技术架构对整个医院带来的优势如下：</w:t>
      </w:r>
    </w:p>
    <w:p w14:paraId="4688327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(1) 整合医院物理服务器资源，将原本分散、利用率低下的物理服务器整合到统一的虚拟化资源池中，大幅提升硬件资源利用率（可由传统架构的 10%～20%提升至60%以上），减少物理服务器数量，降低采购成本以及机房空间、电力、制冷等运维成本。</w:t>
      </w:r>
    </w:p>
    <w:p w14:paraId="788FF609">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 xml:space="preserve">(2) </w:t>
      </w:r>
      <w:r>
        <w:rPr>
          <w:rFonts w:hint="eastAsia" w:ascii="宋体" w:hAnsi="宋体"/>
          <w:color w:val="auto"/>
          <w:highlight w:val="none"/>
          <w:lang w:val="en-US" w:eastAsia="zh-CN"/>
        </w:rPr>
        <w:t>超融合</w:t>
      </w:r>
      <w:r>
        <w:rPr>
          <w:rFonts w:hint="eastAsia" w:ascii="宋体" w:hAnsi="宋体"/>
          <w:color w:val="auto"/>
          <w:highlight w:val="none"/>
          <w:lang w:val="en-US"/>
        </w:rPr>
        <w:t>技术架构可以实现完全的资源整合、统一管理和统一调配，通过统一的</w:t>
      </w:r>
      <w:r>
        <w:rPr>
          <w:rFonts w:hint="eastAsia" w:ascii="宋体" w:hAnsi="宋体"/>
          <w:color w:val="auto"/>
          <w:highlight w:val="none"/>
          <w:lang w:val="en-US" w:eastAsia="zh-CN"/>
        </w:rPr>
        <w:t>超融合</w:t>
      </w:r>
      <w:r>
        <w:rPr>
          <w:rFonts w:hint="eastAsia" w:ascii="宋体" w:hAnsi="宋体"/>
          <w:color w:val="auto"/>
          <w:highlight w:val="none"/>
          <w:lang w:val="en-US"/>
        </w:rPr>
        <w:t>管理平台对计算、存储、网络资源进行集中管理。在扩展性上可以做到按需线性的横向扩展，新增服务器只需加入虚拟化集群即可，不需要提前进行复杂的选型、设计、系统集成和长时间的系统调试，一个节点的扩容通常在一小时之内即可完成。</w:t>
      </w:r>
    </w:p>
    <w:p w14:paraId="251D8025">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(3) 软件定义的基础架构，可以满足未来医院对业务系统的扩展需求。通过软件定义，能够让医院数据中心在一个简单的基础架构之上升级成为一个智能化、自动化、高效化的数据中心。</w:t>
      </w:r>
    </w:p>
    <w:p w14:paraId="26FA99B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使用</w:t>
      </w:r>
      <w:r>
        <w:rPr>
          <w:rFonts w:hint="eastAsia" w:ascii="宋体" w:hAnsi="宋体"/>
          <w:color w:val="auto"/>
          <w:highlight w:val="none"/>
          <w:lang w:val="en-US" w:eastAsia="zh-CN"/>
        </w:rPr>
        <w:t>超融合</w:t>
      </w:r>
      <w:r>
        <w:rPr>
          <w:rFonts w:hint="eastAsia" w:ascii="宋体" w:hAnsi="宋体"/>
          <w:color w:val="auto"/>
          <w:highlight w:val="none"/>
          <w:lang w:val="en-US"/>
        </w:rPr>
        <w:t>技术架构优势总结：</w:t>
      </w:r>
    </w:p>
    <w:p w14:paraId="6B120D93">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 xml:space="preserve">(1) </w:t>
      </w:r>
      <w:r>
        <w:rPr>
          <w:rFonts w:hint="eastAsia" w:ascii="宋体" w:hAnsi="宋体"/>
          <w:color w:val="auto"/>
          <w:highlight w:val="none"/>
          <w:lang w:val="en-US" w:eastAsia="zh-CN"/>
        </w:rPr>
        <w:t>超融合</w:t>
      </w:r>
      <w:r>
        <w:rPr>
          <w:rFonts w:hint="eastAsia" w:ascii="宋体" w:hAnsi="宋体"/>
          <w:color w:val="auto"/>
          <w:highlight w:val="none"/>
          <w:lang w:val="en-US"/>
        </w:rPr>
        <w:t>技术架构整合服务器资源，可大大降低医院基础架构复杂性，同时降低运维和管理的成本。</w:t>
      </w:r>
    </w:p>
    <w:p w14:paraId="48879B60">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(2) 整合医院数据中心资源，充分利用设备资源，实现统一管理。</w:t>
      </w:r>
    </w:p>
    <w:p w14:paraId="21941C6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 xml:space="preserve">(3) </w:t>
      </w:r>
      <w:r>
        <w:rPr>
          <w:rFonts w:hint="eastAsia" w:ascii="宋体" w:hAnsi="宋体"/>
          <w:color w:val="auto"/>
          <w:highlight w:val="none"/>
          <w:lang w:val="en-US" w:eastAsia="zh-CN"/>
        </w:rPr>
        <w:t>超融合</w:t>
      </w:r>
      <w:r>
        <w:rPr>
          <w:rFonts w:hint="eastAsia" w:ascii="宋体" w:hAnsi="宋体"/>
          <w:color w:val="auto"/>
          <w:highlight w:val="none"/>
          <w:lang w:val="en-US"/>
        </w:rPr>
        <w:t>技术架构集成的 HA 高可用、在线热迁移功能，能够有效减少设备故障时间，确保核心业务的连续性，避免传统 IT 单点故障导致的业务不可用。</w:t>
      </w:r>
    </w:p>
    <w:p w14:paraId="3D3F2A7C">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(4) 便于医院业务的快速部署，缩短医院业务系统上线周期，高度灵活性与可扩展性，提高运维和管理效率。</w:t>
      </w:r>
    </w:p>
    <w:p w14:paraId="0758BA1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ascii="宋体" w:hAnsi="宋体"/>
          <w:color w:val="auto"/>
          <w:highlight w:val="none"/>
          <w:lang w:val="en-US"/>
        </w:rPr>
      </w:pPr>
      <w:r>
        <w:rPr>
          <w:rFonts w:hint="eastAsia" w:ascii="宋体" w:hAnsi="宋体"/>
          <w:color w:val="auto"/>
          <w:highlight w:val="none"/>
          <w:lang w:val="en-US"/>
        </w:rPr>
        <w:t>(5) 超融合架构采用分布式的存储架构，采用多副本策略，可以最大化的保证业务系统数据的安全。同时分布式存储支持HDD和SSD等多种不同类型的存储资源，在满足虚拟机的双机、虚拟机热迁移技术可靠性要求的同时，还可以提高其性能。</w:t>
      </w:r>
    </w:p>
    <w:p w14:paraId="46752DF0">
      <w:pPr>
        <w:pStyle w:val="3"/>
        <w:bidi w:val="0"/>
        <w:ind w:left="575" w:leftChars="0" w:hanging="575" w:firstLineChars="0"/>
        <w:rPr>
          <w:rFonts w:hint="eastAsia"/>
        </w:rPr>
      </w:pPr>
      <w:bookmarkStart w:id="21" w:name="_Toc6035"/>
      <w:r>
        <w:rPr>
          <w:rFonts w:hint="eastAsia"/>
        </w:rPr>
        <w:t>总体设计方案</w:t>
      </w:r>
      <w:bookmarkEnd w:id="21"/>
    </w:p>
    <w:p w14:paraId="521A6639">
      <w:pPr>
        <w:pStyle w:val="5"/>
        <w:bidi w:val="0"/>
        <w:ind w:left="720" w:leftChars="0" w:hanging="720" w:firstLineChars="0"/>
      </w:pPr>
      <w:bookmarkStart w:id="22" w:name="_Toc23605"/>
      <w:r>
        <w:rPr>
          <w:rFonts w:hint="eastAsia"/>
          <w:lang w:val="en-US" w:eastAsia="zh-CN"/>
        </w:rPr>
        <w:t>设计概述</w:t>
      </w:r>
      <w:bookmarkEnd w:id="22"/>
    </w:p>
    <w:p w14:paraId="736C09F1">
      <w:pPr>
        <w:widowControl w:val="0"/>
        <w:ind w:firstLine="480" w:firstLineChars="200"/>
        <w:rPr>
          <w:rFonts w:ascii="宋体" w:hAnsi="宋体"/>
          <w:color w:val="auto"/>
          <w:highlight w:val="none"/>
          <w:lang w:val="en-US"/>
        </w:rPr>
      </w:pPr>
      <w:r>
        <w:rPr>
          <w:rFonts w:hint="eastAsia" w:ascii="宋体" w:hAnsi="宋体"/>
          <w:color w:val="auto"/>
          <w:highlight w:val="none"/>
          <w:lang w:val="en-US"/>
        </w:rPr>
        <w:t xml:space="preserve"> 基于对麻章区人民医院的业务现状梳理的认识以及未来业务及信息化发展的目标，建议构建以</w:t>
      </w:r>
      <w:r>
        <w:rPr>
          <w:rFonts w:hint="eastAsia" w:ascii="宋体" w:hAnsi="宋体"/>
          <w:color w:val="auto"/>
          <w:highlight w:val="none"/>
          <w:lang w:val="en-US" w:eastAsia="zh-CN"/>
        </w:rPr>
        <w:t>超融合技术</w:t>
      </w:r>
      <w:r>
        <w:rPr>
          <w:rFonts w:hint="eastAsia" w:ascii="宋体" w:hAnsi="宋体"/>
          <w:color w:val="auto"/>
          <w:highlight w:val="none"/>
          <w:lang w:val="en-US"/>
        </w:rPr>
        <w:t>为基础的新一代</w:t>
      </w:r>
      <w:r>
        <w:rPr>
          <w:rFonts w:hint="eastAsia" w:ascii="宋体" w:hAnsi="宋体"/>
          <w:color w:val="auto"/>
          <w:highlight w:val="none"/>
          <w:lang w:val="en-US" w:eastAsia="zh-CN"/>
        </w:rPr>
        <w:t>云</w:t>
      </w:r>
      <w:r>
        <w:rPr>
          <w:rFonts w:hint="eastAsia" w:ascii="宋体" w:hAnsi="宋体"/>
          <w:color w:val="auto"/>
          <w:highlight w:val="none"/>
          <w:lang w:val="en-US"/>
        </w:rPr>
        <w:t>数据中心，以符合现代化应用开发框架在高性能、高可靠性、弹性扩展及伸缩、简化基础架构管理等方面的需求。本次方案规划构建1套</w:t>
      </w:r>
      <w:r>
        <w:rPr>
          <w:rFonts w:hint="eastAsia" w:ascii="宋体" w:hAnsi="宋体"/>
          <w:color w:val="auto"/>
          <w:highlight w:val="none"/>
          <w:lang w:val="en-US" w:eastAsia="zh-CN"/>
        </w:rPr>
        <w:t>云</w:t>
      </w:r>
      <w:r>
        <w:rPr>
          <w:rFonts w:hint="eastAsia" w:ascii="宋体" w:hAnsi="宋体"/>
          <w:color w:val="auto"/>
          <w:highlight w:val="none"/>
          <w:lang w:val="en-US"/>
        </w:rPr>
        <w:t>计算、存储、网络资源池，用于承载医院</w:t>
      </w:r>
      <w:r>
        <w:rPr>
          <w:rFonts w:hint="eastAsia" w:ascii="宋体" w:hAnsi="宋体"/>
          <w:color w:val="auto"/>
          <w:highlight w:val="none"/>
          <w:lang w:val="en-US" w:eastAsia="zh-CN"/>
        </w:rPr>
        <w:t>诊疗</w:t>
      </w:r>
      <w:r>
        <w:rPr>
          <w:rFonts w:hint="eastAsia" w:ascii="宋体" w:hAnsi="宋体"/>
          <w:color w:val="auto"/>
          <w:highlight w:val="none"/>
          <w:lang w:val="en-US"/>
        </w:rPr>
        <w:t>业务系统。同时，在医院外网部署1套</w:t>
      </w:r>
      <w:r>
        <w:rPr>
          <w:rFonts w:hint="eastAsia" w:ascii="宋体" w:hAnsi="宋体"/>
          <w:color w:val="auto"/>
          <w:highlight w:val="none"/>
          <w:lang w:val="en-US" w:eastAsia="zh-CN"/>
        </w:rPr>
        <w:t>云化资源池</w:t>
      </w:r>
      <w:r>
        <w:rPr>
          <w:rFonts w:hint="eastAsia" w:ascii="宋体" w:hAnsi="宋体"/>
          <w:color w:val="auto"/>
          <w:highlight w:val="none"/>
          <w:lang w:val="en-US"/>
        </w:rPr>
        <w:t>，作为医院内网业务系统的网关提供对外服务。</w:t>
      </w:r>
    </w:p>
    <w:p w14:paraId="42989139">
      <w:pPr>
        <w:pStyle w:val="5"/>
        <w:bidi w:val="0"/>
        <w:ind w:left="720" w:leftChars="0" w:hanging="720" w:firstLineChars="0"/>
      </w:pPr>
      <w:bookmarkStart w:id="23" w:name="_Toc21531"/>
      <w:bookmarkStart w:id="24" w:name="_Toc26767"/>
      <w:bookmarkStart w:id="25" w:name="_Toc69137876"/>
      <w:r>
        <w:rPr>
          <w:rFonts w:hint="eastAsia"/>
          <w:lang w:val="en-US" w:eastAsia="zh-CN"/>
        </w:rPr>
        <w:t>网络设计</w:t>
      </w:r>
    </w:p>
    <w:p w14:paraId="70762429">
      <w:pPr>
        <w:widowControl w:val="0"/>
        <w:ind w:firstLine="480" w:firstLineChars="200"/>
        <w:rPr>
          <w:rFonts w:hint="eastAsia" w:ascii="宋体" w:hAnsi="宋体"/>
          <w:color w:val="auto"/>
          <w:highlight w:val="none"/>
          <w:lang w:val="en-US" w:eastAsia="zh-CN"/>
        </w:rPr>
      </w:pPr>
      <w:r>
        <w:rPr>
          <w:rFonts w:hint="eastAsia" w:ascii="宋体" w:hAnsi="宋体"/>
          <w:color w:val="auto"/>
          <w:highlight w:val="none"/>
          <w:lang w:val="en-US" w:eastAsia="zh-CN"/>
        </w:rPr>
        <w:t>根据对麻章人民医院调研，当年医院计算机网络未做内外网物理隔离，为满足国家网络安全等级保护制度及医疗卫生行业网络安全管理要求，麻章区人民医院数据中心网络计划按照“双网双平面”架构进行设计，实现医疗专网（内网）与互联网（外网）的物理隔离。内网为医院核心医疗业务网络，承载HIS、LIS、PACS等核心医疗业务系统；外网为互联网访问及对外服务网络，包括互联网出口、医保专线、银行专线、OA系统、网站系统等。</w:t>
      </w:r>
    </w:p>
    <w:p w14:paraId="105520F6">
      <w:pPr>
        <w:widowControl w:val="0"/>
        <w:ind w:firstLine="480" w:firstLineChars="200"/>
        <w:rPr>
          <w:rFonts w:hint="default" w:ascii="宋体" w:hAnsi="宋体" w:eastAsia="宋体"/>
          <w:color w:val="auto"/>
          <w:highlight w:val="none"/>
          <w:lang w:val="en-US" w:eastAsia="zh-CN"/>
        </w:rPr>
      </w:pPr>
      <w:r>
        <w:rPr>
          <w:rFonts w:hint="eastAsia" w:ascii="宋体" w:hAnsi="宋体"/>
          <w:color w:val="auto"/>
          <w:highlight w:val="none"/>
          <w:lang w:val="en-US" w:eastAsia="zh-CN"/>
        </w:rPr>
        <w:t>内外网采用独立的网络设备、线路及传输介质，禁止任何物理层面的直接连接。整体设计拓扑如下图所示：</w:t>
      </w:r>
    </w:p>
    <w:p w14:paraId="308649FB">
      <w:pPr>
        <w:rPr>
          <w:color w:val="auto"/>
          <w:highlight w:val="none"/>
        </w:rPr>
      </w:pPr>
      <w:r>
        <w:rPr>
          <w:color w:val="auto"/>
          <w:highlight w:val="none"/>
        </w:rPr>
        <w:drawing>
          <wp:inline distT="0" distB="0" distL="114300" distR="114300">
            <wp:extent cx="5093335" cy="3717290"/>
            <wp:effectExtent l="0" t="0" r="12065"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5093335" cy="3717290"/>
                    </a:xfrm>
                    <a:prstGeom prst="rect">
                      <a:avLst/>
                    </a:prstGeom>
                    <a:noFill/>
                    <a:ln>
                      <a:noFill/>
                    </a:ln>
                  </pic:spPr>
                </pic:pic>
              </a:graphicData>
            </a:graphic>
          </wp:inline>
        </w:drawing>
      </w:r>
    </w:p>
    <w:p w14:paraId="62CFAF5C">
      <w:pPr>
        <w:pStyle w:val="3"/>
        <w:bidi w:val="0"/>
        <w:ind w:left="575" w:leftChars="0" w:hanging="575" w:firstLineChars="0"/>
      </w:pPr>
      <w:r>
        <w:rPr>
          <w:rFonts w:hint="eastAsia"/>
        </w:rPr>
        <w:t>资源池设计</w:t>
      </w:r>
      <w:bookmarkEnd w:id="23"/>
      <w:bookmarkEnd w:id="24"/>
      <w:bookmarkEnd w:id="25"/>
    </w:p>
    <w:p w14:paraId="37FFB287">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IT基础设施是由上层应用的发展决定，现在云计算技术已经深刻</w:t>
      </w:r>
      <w:r>
        <w:rPr>
          <w:rFonts w:hint="eastAsia" w:ascii="宋体" w:hAnsi="宋体"/>
          <w:color w:val="auto"/>
          <w:highlight w:val="none"/>
          <w:lang w:val="en-US" w:eastAsia="zh-CN"/>
        </w:rPr>
        <w:t>地</w:t>
      </w:r>
      <w:r>
        <w:rPr>
          <w:rFonts w:hint="eastAsia" w:ascii="宋体" w:hAnsi="宋体"/>
          <w:color w:val="auto"/>
          <w:highlight w:val="none"/>
          <w:lang w:val="en-US"/>
        </w:rPr>
        <w:t>改变了IT基础架构，必须能够优化计算、网络和存储资源之间的关系，实现真正的灵活部署以及弹性扩展，才能支撑起IT瞬息变化的需求。从近些年IT基础设施的发展可以得出如下结论：硬件平台单一化，越来越多的IT设备均由服务器承载，专用设备软件化，即通过软件定义技术实现灵活的业务部署。</w:t>
      </w:r>
    </w:p>
    <w:p w14:paraId="119099F2">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本期项目医院业务应用信息系统所需虚拟化运算、存储资源需求为下表：</w:t>
      </w:r>
    </w:p>
    <w:tbl>
      <w:tblPr>
        <w:tblStyle w:val="15"/>
        <w:tblW w:w="87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2"/>
        <w:gridCol w:w="1822"/>
        <w:gridCol w:w="1748"/>
        <w:gridCol w:w="857"/>
        <w:gridCol w:w="909"/>
        <w:gridCol w:w="832"/>
        <w:gridCol w:w="915"/>
        <w:gridCol w:w="947"/>
      </w:tblGrid>
      <w:tr w14:paraId="4467F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9B03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8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50A55">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服务器用途</w:t>
            </w:r>
          </w:p>
        </w:tc>
        <w:tc>
          <w:tcPr>
            <w:tcW w:w="17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12F21">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承载业务系统</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6A11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（台）</w:t>
            </w:r>
          </w:p>
        </w:tc>
        <w:tc>
          <w:tcPr>
            <w:tcW w:w="360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D440F">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单台资源需求</w:t>
            </w:r>
          </w:p>
        </w:tc>
      </w:tr>
      <w:tr w14:paraId="1C04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E3E8">
            <w:pPr>
              <w:jc w:val="center"/>
              <w:rPr>
                <w:rFonts w:hint="eastAsia" w:ascii="宋体" w:hAnsi="宋体" w:eastAsia="宋体" w:cs="宋体"/>
                <w:b/>
                <w:bCs/>
                <w:i w:val="0"/>
                <w:iCs w:val="0"/>
                <w:color w:val="auto"/>
                <w:sz w:val="21"/>
                <w:szCs w:val="21"/>
                <w:highlight w:val="none"/>
                <w:u w:val="none"/>
              </w:rPr>
            </w:pPr>
          </w:p>
        </w:tc>
        <w:tc>
          <w:tcPr>
            <w:tcW w:w="18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BBEF9">
            <w:pPr>
              <w:jc w:val="center"/>
              <w:rPr>
                <w:rFonts w:hint="eastAsia" w:ascii="宋体" w:hAnsi="宋体" w:eastAsia="宋体" w:cs="宋体"/>
                <w:b/>
                <w:bCs/>
                <w:i w:val="0"/>
                <w:iCs w:val="0"/>
                <w:color w:val="auto"/>
                <w:sz w:val="21"/>
                <w:szCs w:val="21"/>
                <w:highlight w:val="none"/>
                <w:u w:val="none"/>
              </w:rPr>
            </w:pPr>
          </w:p>
        </w:tc>
        <w:tc>
          <w:tcPr>
            <w:tcW w:w="17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4A1FE">
            <w:pPr>
              <w:jc w:val="center"/>
              <w:rPr>
                <w:rFonts w:hint="eastAsia" w:ascii="宋体" w:hAnsi="宋体" w:eastAsia="宋体" w:cs="宋体"/>
                <w:b/>
                <w:bCs/>
                <w:i w:val="0"/>
                <w:iCs w:val="0"/>
                <w:color w:val="auto"/>
                <w:sz w:val="21"/>
                <w:szCs w:val="21"/>
                <w:highlight w:val="none"/>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E87EB">
            <w:pPr>
              <w:jc w:val="center"/>
              <w:rPr>
                <w:rFonts w:hint="eastAsia" w:ascii="宋体" w:hAnsi="宋体" w:eastAsia="宋体" w:cs="宋体"/>
                <w:b/>
                <w:bCs/>
                <w:i w:val="0"/>
                <w:iCs w:val="0"/>
                <w:color w:val="auto"/>
                <w:sz w:val="21"/>
                <w:szCs w:val="21"/>
                <w:highlight w:val="none"/>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9AC2">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vCPU</w:t>
            </w:r>
          </w:p>
          <w:p w14:paraId="1280812E">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/核心</w:t>
            </w:r>
          </w:p>
        </w:tc>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654">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内存/G</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7B0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系统盘/G</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C84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数据盘/G</w:t>
            </w:r>
          </w:p>
        </w:tc>
      </w:tr>
      <w:tr w14:paraId="1A893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8B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C2F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his主库</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696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一体化HIS系统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1B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070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7F0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A69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E75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56006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E8F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60A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his 从库</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3CF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一体化HIS系统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1EB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91E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855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F33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F13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30E4C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0E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F9C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his从从库</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2DD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一体化HIS系统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86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B94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1B6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3DA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B6D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014A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9C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A5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his备份库</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449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一体化HIS系统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39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C069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09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F32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85B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2048</w:t>
            </w:r>
          </w:p>
        </w:tc>
      </w:tr>
      <w:tr w14:paraId="641C5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FF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0D8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camelagent数据库</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E40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系统对接/集成代理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D9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0E0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45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C18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DAA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0497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A5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3B0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rocketmq消息集群</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0D8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业务中台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8C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F3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354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DC2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C67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0A35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B3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E3D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注册中心</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B30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业务中台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B0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E15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8E9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3334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77C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567F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556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BBA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分布式事务</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4A8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业务中台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7E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1C3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D65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556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62A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6D77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DD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FEC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数据集</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D35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C1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57F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414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2BFD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6D5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3B765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74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E36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实时计算doris-be节点</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6A9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A7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81D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D8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5F5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AA2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2048</w:t>
            </w:r>
          </w:p>
        </w:tc>
      </w:tr>
      <w:tr w14:paraId="249B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E6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CEB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实时计算doris-fe节点</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761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7A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D25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EFC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AE01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A4B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26CF7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2A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AF7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mongodb</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074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E7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A35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91B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F7E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642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4C61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BA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583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es</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BBC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DD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AFF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A88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F58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C2B0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6506B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6A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89C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kafka,elk-kafka</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140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8B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389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C30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6FC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4374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2CCF9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E0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1011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实时计算kafka</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91C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6A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892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4B02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F0E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1A5F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2048</w:t>
            </w:r>
          </w:p>
        </w:tc>
      </w:tr>
      <w:tr w14:paraId="5FF4A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B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7DE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mysql</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548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8A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9B8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375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1BC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777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D59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20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5BD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tengine</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CEB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3B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854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12D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7A0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481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15144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658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617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redis缓存</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2E8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D9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7B88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800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6459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1A3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28BC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38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41E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nginx-net</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9F8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7C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653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389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A19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E24B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786C6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EA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1D6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elk-es</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98A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14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63A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48A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22E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A04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2048</w:t>
            </w:r>
          </w:p>
        </w:tc>
      </w:tr>
      <w:tr w14:paraId="04C03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225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569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bind_slave</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649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A8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330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2DA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409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0FD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13D2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67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28E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prometheus监控</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FD9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0B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613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8AD4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B88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915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BBC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9D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078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跳板机,时间服务器,部署中间件转发服务,elastic-job,kibana</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8C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97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91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C4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2B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E0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6583D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B5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45B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zookeeper</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2E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18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682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F96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C0D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6A0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2192C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6C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A3B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bind</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7F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运维支撑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D9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0E0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A13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4BC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706C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406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1CD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0FF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340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99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C4A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2B5B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EF4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087D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889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FAC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574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603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业务中台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DC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5A4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1CC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6B0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1BA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6801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D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E3C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200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门（急）诊业务子系统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9F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8ED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516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F86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734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F27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A5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E04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CD6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住院业务子系统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D7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902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FAC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0A54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B4E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5AC4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5D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323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33C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数字护士站子系统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83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61F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9F9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EF0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933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4607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64B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5CC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8A6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药耗管理子系统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65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83E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809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0CA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2C9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39A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3F3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620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D7F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系统配置管理子系统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68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4BC1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4C6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6CDB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6DD0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41FD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BF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1BC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7BD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LIS检验信息管理系统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38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95F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732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CE7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2A8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5DC5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CD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070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78C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PACS医学影像系统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74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6E0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E86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322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DD55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68C27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E5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7DB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A76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手术麻醉管理系统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66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3D8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B37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6026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192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CA7A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895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A2E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84E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心电信息系统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14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22B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ACB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F50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A3B7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20F28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8B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EBE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F16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合理用药监测系统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84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CF6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A45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F7B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781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DCE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860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602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567F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康复治疗管理系统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00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646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95A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7968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6DC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5C14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689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A7F8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F4D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互联网患者服务平台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2E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F59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882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6D6F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08D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9E33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CE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CFE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6012">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电子病历质控系统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56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2B3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84F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9223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83DB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2BDCC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2A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7C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AA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门（急）诊诊疗信息页管理系统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D2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8C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8BD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10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C2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5F770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D3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294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6A7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病案管理与首页质控系统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99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B0C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D84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C2F9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B3A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61531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8E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3E6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718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医保结算清单系统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AA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733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B64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E0F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8D8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778D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68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EFD4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622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DIP运营监测系统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0E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A2C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5DB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0EE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904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620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58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E75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30B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医院感染管理系统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99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50C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3944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8D2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F5B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0646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14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0D8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143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公卫临床上报系统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B2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FA39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0300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8BF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56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7A3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E0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F7A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E59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门诊电子病历系统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96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1F29">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76D2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D0C8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A0E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5517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28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D5A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47E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电子票据系统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66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858D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A04F">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CD4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027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4CB67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63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E934">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AEA0">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财务对账平台</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EB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422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60B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EB4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0BE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1BE6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61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3F1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888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绩效考核系统</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E9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BBE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CDA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82D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E50F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6A8B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1E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B00A">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中间件服务器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F7CC">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E8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CB45">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14E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CA2D">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30BE">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0F40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84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ACE3">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应急应用服务器</w:t>
            </w:r>
          </w:p>
        </w:tc>
        <w:tc>
          <w:tcPr>
            <w:tcW w:w="1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B597">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应用支撑</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4B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0B508">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D214B">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20B21">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6A26">
            <w:pPr>
              <w:keepNext w:val="0"/>
              <w:keepLines w:val="0"/>
              <w:widowControl/>
              <w:suppressLineNumbers w:val="0"/>
              <w:jc w:val="center"/>
              <w:textAlignment w:val="bottom"/>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1024</w:t>
            </w:r>
          </w:p>
        </w:tc>
      </w:tr>
      <w:tr w14:paraId="29A4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511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B5E1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总计</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AE7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r>
              <w:rPr>
                <w:rFonts w:hint="eastAsia" w:ascii="宋体" w:hAnsi="宋体" w:cs="宋体"/>
                <w:i w:val="0"/>
                <w:iCs w:val="0"/>
                <w:color w:val="auto"/>
                <w:kern w:val="0"/>
                <w:sz w:val="21"/>
                <w:szCs w:val="21"/>
                <w:highlight w:val="none"/>
                <w:u w:val="none"/>
                <w:lang w:val="en-US" w:eastAsia="zh-CN" w:bidi="ar"/>
              </w:rPr>
              <w:t>8</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7F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2032</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31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2560</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5FB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41480</w:t>
            </w:r>
          </w:p>
        </w:tc>
      </w:tr>
    </w:tbl>
    <w:p w14:paraId="3BB70391">
      <w:pPr>
        <w:pStyle w:val="5"/>
        <w:bidi w:val="0"/>
        <w:ind w:left="720" w:leftChars="0" w:hanging="720" w:firstLineChars="0"/>
      </w:pPr>
      <w:r>
        <w:rPr>
          <w:rFonts w:hint="eastAsia"/>
        </w:rPr>
        <w:t>计算资源池设计</w:t>
      </w:r>
    </w:p>
    <w:p w14:paraId="04549EB0">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本次云计算平台基于标准服务器</w:t>
      </w:r>
      <w:r>
        <w:rPr>
          <w:rFonts w:hint="eastAsia" w:ascii="宋体" w:hAnsi="宋体"/>
          <w:color w:val="auto"/>
          <w:highlight w:val="none"/>
          <w:lang w:val="en-US" w:eastAsia="zh-CN"/>
        </w:rPr>
        <w:t>超融合</w:t>
      </w:r>
      <w:r>
        <w:rPr>
          <w:rFonts w:hint="eastAsia" w:ascii="宋体" w:hAnsi="宋体"/>
          <w:color w:val="auto"/>
          <w:highlight w:val="none"/>
          <w:lang w:val="en-US"/>
        </w:rPr>
        <w:t xml:space="preserve">技术架构，实现对服务器物理资源的抽象，将CPU、内存、I/O等服务器物理资源转化为一组可统一管理、调度和分配的逻辑资源，并基于这些逻辑资源在单个物理服务器上构建多个同时运行、相互隔离的虚拟机执行环境，实现更高的资源利用率，同时满足应用更加灵活的资源动态分配需求，譬如提供热迁移、HA等高可用特性，实现更低的运营成本、更高的灵活性和更快速的业务响应速度。 </w:t>
      </w:r>
    </w:p>
    <w:p w14:paraId="5D63A12F">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本项目需要采用集群设计，将计算资源池内的主机进行规划，在一个集群内，需要实现虚拟化后的所有特性，类似：热迁移、HA、动态资源调度、动态资源扩展等。</w:t>
      </w:r>
    </w:p>
    <w:p w14:paraId="1387D697">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本方案虚拟机与物理节点对应原则包括：</w:t>
      </w:r>
    </w:p>
    <w:p w14:paraId="6D5424C0">
      <w:pPr>
        <w:widowControl w:val="0"/>
        <w:ind w:firstLine="480" w:firstLineChars="200"/>
        <w:rPr>
          <w:rFonts w:ascii="宋体" w:hAnsi="宋体"/>
          <w:color w:val="auto"/>
          <w:highlight w:val="none"/>
          <w:lang w:val="en-US"/>
        </w:rPr>
      </w:pPr>
      <w:r>
        <w:rPr>
          <w:rFonts w:hint="eastAsia" w:ascii="宋体" w:hAnsi="宋体"/>
          <w:color w:val="auto"/>
          <w:highlight w:val="none"/>
          <w:lang w:val="en-US"/>
        </w:rPr>
        <w:t>（1）计算物理机采用国产化CPU，</w:t>
      </w:r>
      <w:r>
        <w:rPr>
          <w:rFonts w:hint="eastAsia" w:ascii="宋体" w:hAnsi="宋体"/>
          <w:color w:val="auto"/>
          <w:highlight w:val="none"/>
          <w:lang w:val="en-US" w:eastAsia="zh-CN"/>
        </w:rPr>
        <w:t>采用200%</w:t>
      </w:r>
      <w:r>
        <w:rPr>
          <w:rFonts w:hint="eastAsia" w:ascii="宋体" w:hAnsi="宋体"/>
          <w:color w:val="auto"/>
          <w:highlight w:val="none"/>
          <w:lang w:val="en-US"/>
        </w:rPr>
        <w:t>超分</w:t>
      </w:r>
      <w:r>
        <w:rPr>
          <w:rFonts w:hint="eastAsia" w:ascii="宋体" w:hAnsi="宋体"/>
          <w:color w:val="auto"/>
          <w:highlight w:val="none"/>
          <w:lang w:val="en-US" w:eastAsia="zh-CN"/>
        </w:rPr>
        <w:t>配</w:t>
      </w:r>
      <w:r>
        <w:rPr>
          <w:rFonts w:hint="eastAsia" w:ascii="宋体" w:hAnsi="宋体"/>
          <w:color w:val="auto"/>
          <w:highlight w:val="none"/>
          <w:lang w:val="en-US"/>
        </w:rPr>
        <w:t>。</w:t>
      </w:r>
    </w:p>
    <w:p w14:paraId="761DE64C">
      <w:pPr>
        <w:widowControl w:val="0"/>
        <w:ind w:firstLine="480" w:firstLineChars="200"/>
        <w:rPr>
          <w:rFonts w:hint="default" w:ascii="宋体" w:hAnsi="宋体" w:eastAsia="宋体"/>
          <w:color w:val="auto"/>
          <w:highlight w:val="none"/>
          <w:lang w:val="en-US" w:eastAsia="zh-CN"/>
        </w:rPr>
      </w:pPr>
      <w:r>
        <w:rPr>
          <w:rFonts w:hint="eastAsia" w:ascii="宋体" w:hAnsi="宋体"/>
          <w:color w:val="auto"/>
          <w:highlight w:val="none"/>
          <w:lang w:val="en-US"/>
        </w:rPr>
        <w:t>（2）计算物理机的核心数时需考虑云计算平台CPU资源开销</w:t>
      </w:r>
      <w:r>
        <w:rPr>
          <w:rFonts w:hint="eastAsia" w:ascii="宋体" w:hAnsi="宋体"/>
          <w:color w:val="auto"/>
          <w:highlight w:val="none"/>
          <w:lang w:val="en-US" w:eastAsia="zh-CN"/>
        </w:rPr>
        <w:t>（约5%）及20%资源冗余</w:t>
      </w:r>
      <w:r>
        <w:rPr>
          <w:rFonts w:hint="eastAsia" w:ascii="宋体" w:hAnsi="宋体"/>
          <w:color w:val="auto"/>
          <w:highlight w:val="none"/>
          <w:lang w:val="en-US"/>
        </w:rPr>
        <w:t>，则</w:t>
      </w:r>
      <w:r>
        <w:rPr>
          <w:rFonts w:hint="eastAsia" w:ascii="宋体" w:hAnsi="宋体"/>
          <w:color w:val="auto"/>
          <w:highlight w:val="none"/>
          <w:lang w:val="en-US" w:eastAsia="zh-CN"/>
        </w:rPr>
        <w:t>云计算</w:t>
      </w:r>
      <w:r>
        <w:rPr>
          <w:rFonts w:hint="eastAsia" w:ascii="宋体" w:hAnsi="宋体"/>
          <w:color w:val="auto"/>
          <w:highlight w:val="none"/>
          <w:lang w:val="en-US"/>
        </w:rPr>
        <w:t>集群需配置的vCPU资源应不低于3</w:t>
      </w:r>
      <w:r>
        <w:rPr>
          <w:rFonts w:hint="eastAsia" w:ascii="宋体" w:hAnsi="宋体"/>
          <w:color w:val="auto"/>
          <w:highlight w:val="none"/>
          <w:lang w:val="en-US" w:eastAsia="zh-CN"/>
        </w:rPr>
        <w:t xml:space="preserve">68 </w:t>
      </w:r>
      <w:r>
        <w:rPr>
          <w:rFonts w:hint="default" w:ascii="Arial" w:hAnsi="Arial" w:cs="Arial"/>
          <w:color w:val="auto"/>
          <w:highlight w:val="none"/>
          <w:lang w:val="en-US"/>
        </w:rPr>
        <w:t>÷</w:t>
      </w:r>
      <w:r>
        <w:rPr>
          <w:rFonts w:hint="eastAsia" w:ascii="Arial" w:hAnsi="Arial" w:cs="Arial"/>
          <w:color w:val="auto"/>
          <w:highlight w:val="none"/>
          <w:lang w:val="en-US" w:eastAsia="zh-CN"/>
        </w:rPr>
        <w:t xml:space="preserve"> </w:t>
      </w:r>
      <w:r>
        <w:rPr>
          <w:rFonts w:hint="eastAsia" w:ascii="宋体" w:hAnsi="宋体"/>
          <w:color w:val="auto"/>
          <w:highlight w:val="none"/>
          <w:lang w:val="en-US"/>
        </w:rPr>
        <w:t>0.</w:t>
      </w:r>
      <w:r>
        <w:rPr>
          <w:rFonts w:hint="eastAsia" w:ascii="宋体" w:hAnsi="宋体"/>
          <w:color w:val="auto"/>
          <w:highlight w:val="none"/>
          <w:lang w:val="en-US" w:eastAsia="zh-CN"/>
        </w:rPr>
        <w:t xml:space="preserve">75 </w:t>
      </w:r>
      <w:r>
        <w:rPr>
          <w:rFonts w:hint="default" w:ascii="Arial" w:hAnsi="Arial" w:cs="Arial"/>
          <w:color w:val="auto"/>
          <w:highlight w:val="none"/>
          <w:lang w:val="en-US"/>
        </w:rPr>
        <w:t>≈</w:t>
      </w:r>
      <w:r>
        <w:rPr>
          <w:rFonts w:hint="eastAsia" w:ascii="宋体" w:hAnsi="宋体"/>
          <w:color w:val="auto"/>
          <w:highlight w:val="none"/>
          <w:lang w:val="en-US" w:eastAsia="zh-CN"/>
        </w:rPr>
        <w:t xml:space="preserve"> </w:t>
      </w:r>
      <w:r>
        <w:rPr>
          <w:rFonts w:hint="eastAsia" w:ascii="宋体" w:hAnsi="宋体"/>
          <w:color w:val="auto"/>
          <w:highlight w:val="none"/>
          <w:lang w:val="en-US"/>
        </w:rPr>
        <w:t>4</w:t>
      </w:r>
      <w:r>
        <w:rPr>
          <w:rFonts w:hint="eastAsia" w:ascii="宋体" w:hAnsi="宋体"/>
          <w:color w:val="auto"/>
          <w:highlight w:val="none"/>
          <w:lang w:val="en-US" w:eastAsia="zh-CN"/>
        </w:rPr>
        <w:t xml:space="preserve">91 </w:t>
      </w:r>
      <w:r>
        <w:rPr>
          <w:rFonts w:hint="eastAsia" w:ascii="宋体" w:hAnsi="宋体"/>
          <w:color w:val="auto"/>
          <w:highlight w:val="none"/>
          <w:lang w:val="en-US"/>
        </w:rPr>
        <w:t>vCPU。</w:t>
      </w:r>
      <w:r>
        <w:rPr>
          <w:rFonts w:hint="eastAsia" w:ascii="宋体" w:hAnsi="宋体"/>
          <w:color w:val="auto"/>
          <w:highlight w:val="none"/>
          <w:lang w:val="en-US" w:eastAsia="zh-CN"/>
        </w:rPr>
        <w:t>本方案规划每台超融合服务器配置128个逻辑核处理器，整体集群共512个逻辑核处理器。</w:t>
      </w:r>
    </w:p>
    <w:p w14:paraId="0034C81C">
      <w:pPr>
        <w:widowControl w:val="0"/>
        <w:ind w:firstLine="480" w:firstLineChars="200"/>
        <w:rPr>
          <w:rFonts w:hint="default" w:ascii="宋体" w:hAnsi="宋体" w:eastAsia="宋体"/>
          <w:color w:val="auto"/>
          <w:highlight w:val="none"/>
          <w:lang w:val="en-US" w:eastAsia="zh-CN"/>
        </w:rPr>
      </w:pPr>
      <w:r>
        <w:rPr>
          <w:rFonts w:hint="eastAsia" w:ascii="宋体" w:hAnsi="宋体"/>
          <w:color w:val="auto"/>
          <w:highlight w:val="none"/>
          <w:lang w:val="en-US"/>
        </w:rPr>
        <w:t>（3）</w:t>
      </w:r>
      <w:r>
        <w:rPr>
          <w:rFonts w:hint="eastAsia" w:ascii="宋体" w:hAnsi="宋体"/>
          <w:color w:val="auto"/>
          <w:highlight w:val="none"/>
          <w:lang w:val="en-US" w:eastAsia="zh-CN"/>
        </w:rPr>
        <w:t>云计算</w:t>
      </w:r>
      <w:r>
        <w:rPr>
          <w:rFonts w:hint="eastAsia" w:ascii="宋体" w:hAnsi="宋体"/>
          <w:color w:val="auto"/>
          <w:highlight w:val="none"/>
          <w:lang w:val="en-US"/>
        </w:rPr>
        <w:t>集群配置内存需考虑云平台开销及预留未来业务扩展的需要，建议按20%冗余计算，因此规划</w:t>
      </w:r>
      <w:r>
        <w:rPr>
          <w:rFonts w:hint="eastAsia" w:ascii="宋体" w:hAnsi="宋体"/>
          <w:color w:val="auto"/>
          <w:highlight w:val="none"/>
          <w:lang w:val="en-US" w:eastAsia="zh-CN"/>
        </w:rPr>
        <w:t>云计算</w:t>
      </w:r>
      <w:r>
        <w:rPr>
          <w:rFonts w:hint="eastAsia" w:ascii="宋体" w:hAnsi="宋体"/>
          <w:color w:val="auto"/>
          <w:highlight w:val="none"/>
          <w:lang w:val="en-US"/>
        </w:rPr>
        <w:t>集群需配置内存应不低于</w:t>
      </w:r>
      <w:r>
        <w:rPr>
          <w:rFonts w:hint="eastAsia" w:ascii="宋体" w:hAnsi="宋体"/>
          <w:color w:val="auto"/>
          <w:highlight w:val="none"/>
          <w:lang w:val="en-US" w:eastAsia="zh-CN"/>
        </w:rPr>
        <w:t xml:space="preserve">2032 </w:t>
      </w:r>
      <w:r>
        <w:rPr>
          <w:rFonts w:hint="default" w:ascii="Arial" w:hAnsi="Arial" w:cs="Arial"/>
          <w:color w:val="auto"/>
          <w:highlight w:val="none"/>
          <w:lang w:val="en-US"/>
        </w:rPr>
        <w:t>÷</w:t>
      </w:r>
      <w:r>
        <w:rPr>
          <w:rFonts w:hint="eastAsia" w:ascii="Arial" w:hAnsi="Arial" w:cs="Arial"/>
          <w:color w:val="auto"/>
          <w:highlight w:val="none"/>
          <w:lang w:val="en-US" w:eastAsia="zh-CN"/>
        </w:rPr>
        <w:t xml:space="preserve"> </w:t>
      </w:r>
      <w:r>
        <w:rPr>
          <w:rFonts w:hint="eastAsia" w:ascii="宋体" w:hAnsi="宋体"/>
          <w:color w:val="auto"/>
          <w:highlight w:val="none"/>
          <w:lang w:val="en-US"/>
        </w:rPr>
        <w:t>0.8</w:t>
      </w:r>
      <w:r>
        <w:rPr>
          <w:rFonts w:hint="eastAsia" w:ascii="宋体" w:hAnsi="宋体"/>
          <w:color w:val="auto"/>
          <w:highlight w:val="none"/>
          <w:lang w:val="en-US" w:eastAsia="zh-CN"/>
        </w:rPr>
        <w:t xml:space="preserve"> </w:t>
      </w:r>
      <w:r>
        <w:rPr>
          <w:rFonts w:hint="eastAsia" w:ascii="宋体" w:hAnsi="宋体"/>
          <w:color w:val="auto"/>
          <w:highlight w:val="none"/>
          <w:lang w:val="en-US"/>
        </w:rPr>
        <w:t>=</w:t>
      </w:r>
      <w:r>
        <w:rPr>
          <w:rFonts w:hint="eastAsia" w:ascii="宋体" w:hAnsi="宋体"/>
          <w:color w:val="auto"/>
          <w:highlight w:val="none"/>
          <w:lang w:val="en-US" w:eastAsia="zh-CN"/>
        </w:rPr>
        <w:t xml:space="preserve"> 2540 </w:t>
      </w:r>
      <w:r>
        <w:rPr>
          <w:rFonts w:hint="eastAsia" w:ascii="宋体" w:hAnsi="宋体"/>
          <w:color w:val="auto"/>
          <w:highlight w:val="none"/>
          <w:lang w:val="en-US"/>
        </w:rPr>
        <w:t>GB</w:t>
      </w:r>
      <w:r>
        <w:rPr>
          <w:rFonts w:hint="eastAsia" w:ascii="宋体" w:hAnsi="宋体"/>
          <w:color w:val="auto"/>
          <w:highlight w:val="none"/>
          <w:lang w:val="en-US" w:eastAsia="zh-CN"/>
        </w:rPr>
        <w:t>；本方案规划每台超融合服务器配置768GB内存，整体集群共3072GB内存容量。</w:t>
      </w:r>
    </w:p>
    <w:p w14:paraId="36D4A1C2">
      <w:pPr>
        <w:pStyle w:val="5"/>
        <w:bidi w:val="0"/>
        <w:ind w:left="720" w:leftChars="0" w:hanging="720" w:firstLineChars="0"/>
      </w:pPr>
      <w:r>
        <w:rPr>
          <w:rFonts w:hint="eastAsia"/>
        </w:rPr>
        <w:t>存储资源池设计</w:t>
      </w:r>
    </w:p>
    <w:p w14:paraId="35759B74">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本项目采用</w:t>
      </w:r>
      <w:r>
        <w:rPr>
          <w:rFonts w:hint="eastAsia" w:ascii="宋体" w:hAnsi="宋体"/>
          <w:color w:val="auto"/>
          <w:highlight w:val="none"/>
          <w:lang w:val="en-US" w:eastAsia="zh-CN"/>
        </w:rPr>
        <w:t>虚拟化</w:t>
      </w:r>
      <w:r>
        <w:rPr>
          <w:rFonts w:hint="eastAsia" w:ascii="宋体" w:hAnsi="宋体"/>
          <w:color w:val="auto"/>
          <w:highlight w:val="none"/>
          <w:lang w:val="en-US"/>
        </w:rPr>
        <w:t>存储方案，将</w:t>
      </w:r>
      <w:r>
        <w:rPr>
          <w:rFonts w:hint="eastAsia" w:ascii="宋体" w:hAnsi="宋体"/>
          <w:color w:val="auto"/>
          <w:highlight w:val="none"/>
          <w:lang w:val="en-US" w:eastAsia="zh-CN"/>
        </w:rPr>
        <w:t>服务器/存储阵列的</w:t>
      </w:r>
      <w:r>
        <w:rPr>
          <w:rFonts w:hint="eastAsia" w:ascii="宋体" w:hAnsi="宋体"/>
          <w:color w:val="auto"/>
          <w:highlight w:val="none"/>
          <w:lang w:val="en-US"/>
        </w:rPr>
        <w:t>磁盘空间组织起来形成一个统一的虚拟共享存储：虚拟存储系统。虚拟化存储在功能上与独立共享存储完全一致。</w:t>
      </w:r>
    </w:p>
    <w:p w14:paraId="0096B9E9">
      <w:pPr>
        <w:widowControl w:val="0"/>
        <w:ind w:firstLine="480" w:firstLineChars="200"/>
        <w:rPr>
          <w:rFonts w:ascii="宋体" w:hAnsi="宋体"/>
          <w:color w:val="auto"/>
          <w:highlight w:val="none"/>
          <w:lang w:val="en-US"/>
        </w:rPr>
      </w:pPr>
      <w:r>
        <w:rPr>
          <w:rFonts w:hint="eastAsia" w:ascii="宋体" w:hAnsi="宋体"/>
          <w:color w:val="auto"/>
          <w:highlight w:val="none"/>
          <w:lang w:val="en-US"/>
        </w:rPr>
        <w:t>根据业务系统资源需求统计，本项目虚拟机共需要约4</w:t>
      </w:r>
      <w:r>
        <w:rPr>
          <w:rFonts w:hint="eastAsia" w:ascii="宋体" w:hAnsi="宋体"/>
          <w:color w:val="auto"/>
          <w:highlight w:val="none"/>
          <w:lang w:val="en-US" w:eastAsia="zh-CN"/>
        </w:rPr>
        <w:t>4</w:t>
      </w:r>
      <w:r>
        <w:rPr>
          <w:rFonts w:hint="eastAsia" w:ascii="宋体" w:hAnsi="宋体"/>
          <w:color w:val="auto"/>
          <w:highlight w:val="none"/>
          <w:lang w:val="en-US"/>
        </w:rPr>
        <w:t>TB块存储容量，同时PACS影像需要</w:t>
      </w:r>
      <w:r>
        <w:rPr>
          <w:rFonts w:hint="eastAsia" w:ascii="宋体" w:hAnsi="宋体"/>
          <w:color w:val="auto"/>
          <w:highlight w:val="none"/>
          <w:lang w:val="en-US" w:eastAsia="zh-CN"/>
        </w:rPr>
        <w:t>不少于24</w:t>
      </w:r>
      <w:r>
        <w:rPr>
          <w:rFonts w:hint="eastAsia" w:ascii="宋体" w:hAnsi="宋体"/>
          <w:color w:val="auto"/>
          <w:highlight w:val="none"/>
          <w:lang w:val="en-US"/>
        </w:rPr>
        <w:t>TB对象存储。</w:t>
      </w:r>
    </w:p>
    <w:p w14:paraId="5CBC912C">
      <w:pPr>
        <w:widowControl w:val="0"/>
        <w:ind w:firstLine="480" w:firstLineChars="200"/>
        <w:rPr>
          <w:rFonts w:hint="default" w:ascii="宋体" w:hAnsi="宋体" w:eastAsia="宋体"/>
          <w:color w:val="auto"/>
          <w:highlight w:val="none"/>
          <w:lang w:val="en-US" w:eastAsia="zh-CN"/>
        </w:rPr>
      </w:pPr>
      <w:r>
        <w:rPr>
          <w:rFonts w:hint="eastAsia" w:ascii="宋体" w:hAnsi="宋体"/>
          <w:color w:val="auto"/>
          <w:highlight w:val="none"/>
          <w:lang w:val="en-US"/>
        </w:rPr>
        <w:t>综上所述，</w:t>
      </w:r>
      <w:r>
        <w:rPr>
          <w:rFonts w:hint="eastAsia" w:ascii="宋体" w:hAnsi="宋体"/>
          <w:color w:val="auto"/>
          <w:highlight w:val="none"/>
          <w:lang w:val="en-US" w:eastAsia="zh-CN"/>
        </w:rPr>
        <w:t>按</w:t>
      </w:r>
      <w:r>
        <w:rPr>
          <w:rFonts w:hint="eastAsia" w:ascii="宋体" w:hAnsi="宋体"/>
          <w:color w:val="auto"/>
          <w:highlight w:val="none"/>
          <w:lang w:val="en-US"/>
        </w:rPr>
        <w:t>块存储规划预留20%冗余，则</w:t>
      </w:r>
      <w:r>
        <w:rPr>
          <w:rFonts w:hint="eastAsia" w:ascii="宋体" w:hAnsi="宋体"/>
          <w:color w:val="auto"/>
          <w:highlight w:val="none"/>
          <w:lang w:val="en-US" w:eastAsia="zh-CN"/>
        </w:rPr>
        <w:t>集群中</w:t>
      </w:r>
      <w:r>
        <w:rPr>
          <w:rFonts w:hint="eastAsia" w:ascii="宋体" w:hAnsi="宋体"/>
          <w:color w:val="auto"/>
          <w:highlight w:val="none"/>
          <w:lang w:val="en-US"/>
        </w:rPr>
        <w:t>块存储</w:t>
      </w:r>
      <w:r>
        <w:rPr>
          <w:rFonts w:hint="eastAsia" w:ascii="宋体" w:hAnsi="宋体"/>
          <w:color w:val="auto"/>
          <w:highlight w:val="none"/>
          <w:lang w:val="en-US" w:eastAsia="zh-CN"/>
        </w:rPr>
        <w:t>资源可用</w:t>
      </w:r>
      <w:r>
        <w:rPr>
          <w:rFonts w:hint="eastAsia" w:ascii="宋体" w:hAnsi="宋体"/>
          <w:color w:val="auto"/>
          <w:highlight w:val="none"/>
          <w:lang w:val="en-US"/>
        </w:rPr>
        <w:t>容量</w:t>
      </w:r>
      <w:r>
        <w:rPr>
          <w:rFonts w:hint="eastAsia" w:ascii="宋体" w:hAnsi="宋体"/>
          <w:color w:val="auto"/>
          <w:highlight w:val="none"/>
          <w:lang w:val="en-US" w:eastAsia="zh-CN"/>
        </w:rPr>
        <w:t>应不低于</w:t>
      </w:r>
      <w:r>
        <w:rPr>
          <w:rFonts w:hint="eastAsia" w:ascii="宋体" w:hAnsi="宋体"/>
          <w:color w:val="auto"/>
          <w:highlight w:val="none"/>
          <w:lang w:val="en-US"/>
        </w:rPr>
        <w:t>：4</w:t>
      </w:r>
      <w:r>
        <w:rPr>
          <w:rFonts w:hint="eastAsia" w:ascii="宋体" w:hAnsi="宋体"/>
          <w:color w:val="auto"/>
          <w:highlight w:val="none"/>
          <w:lang w:val="en-US" w:eastAsia="zh-CN"/>
        </w:rPr>
        <w:t>4</w:t>
      </w:r>
      <w:r>
        <w:rPr>
          <w:rFonts w:hint="eastAsia" w:ascii="宋体" w:hAnsi="宋体"/>
          <w:color w:val="auto"/>
          <w:highlight w:val="none"/>
          <w:lang w:val="en-US"/>
        </w:rPr>
        <w:t>÷0.8</w:t>
      </w:r>
      <w:r>
        <w:rPr>
          <w:rFonts w:hint="eastAsia" w:ascii="宋体" w:hAnsi="宋体"/>
          <w:color w:val="auto"/>
          <w:highlight w:val="none"/>
          <w:lang w:val="en-US" w:eastAsia="zh-CN"/>
        </w:rPr>
        <w:t>=55</w:t>
      </w:r>
      <w:r>
        <w:rPr>
          <w:rFonts w:hint="eastAsia" w:ascii="宋体" w:hAnsi="宋体"/>
          <w:color w:val="auto"/>
          <w:highlight w:val="none"/>
          <w:lang w:val="en-US"/>
        </w:rPr>
        <w:t>TB；对象存储规划预留20%冗余，则</w:t>
      </w:r>
      <w:r>
        <w:rPr>
          <w:rFonts w:hint="eastAsia" w:ascii="宋体" w:hAnsi="宋体"/>
          <w:color w:val="auto"/>
          <w:highlight w:val="none"/>
          <w:lang w:val="en-US" w:eastAsia="zh-CN"/>
        </w:rPr>
        <w:t>集群中对象</w:t>
      </w:r>
      <w:r>
        <w:rPr>
          <w:rFonts w:hint="eastAsia" w:ascii="宋体" w:hAnsi="宋体"/>
          <w:color w:val="auto"/>
          <w:highlight w:val="none"/>
          <w:lang w:val="en-US"/>
        </w:rPr>
        <w:t>存储</w:t>
      </w:r>
      <w:r>
        <w:rPr>
          <w:rFonts w:hint="eastAsia" w:ascii="宋体" w:hAnsi="宋体"/>
          <w:color w:val="auto"/>
          <w:highlight w:val="none"/>
          <w:lang w:val="en-US" w:eastAsia="zh-CN"/>
        </w:rPr>
        <w:t>资源可用</w:t>
      </w:r>
      <w:r>
        <w:rPr>
          <w:rFonts w:hint="eastAsia" w:ascii="宋体" w:hAnsi="宋体"/>
          <w:color w:val="auto"/>
          <w:highlight w:val="none"/>
          <w:lang w:val="en-US"/>
        </w:rPr>
        <w:t>容量</w:t>
      </w:r>
      <w:r>
        <w:rPr>
          <w:rFonts w:hint="eastAsia" w:ascii="宋体" w:hAnsi="宋体"/>
          <w:color w:val="auto"/>
          <w:highlight w:val="none"/>
          <w:lang w:val="en-US" w:eastAsia="zh-CN"/>
        </w:rPr>
        <w:t>应不低于</w:t>
      </w:r>
      <w:r>
        <w:rPr>
          <w:rFonts w:hint="eastAsia" w:ascii="宋体" w:hAnsi="宋体"/>
          <w:color w:val="auto"/>
          <w:highlight w:val="none"/>
          <w:lang w:val="en-US"/>
        </w:rPr>
        <w:t>：</w:t>
      </w:r>
      <w:r>
        <w:rPr>
          <w:rFonts w:hint="eastAsia" w:ascii="宋体" w:hAnsi="宋体"/>
          <w:color w:val="auto"/>
          <w:highlight w:val="none"/>
          <w:lang w:val="en-US" w:eastAsia="zh-CN"/>
        </w:rPr>
        <w:t>24</w:t>
      </w:r>
      <w:r>
        <w:rPr>
          <w:rFonts w:hint="eastAsia" w:ascii="宋体" w:hAnsi="宋体"/>
          <w:color w:val="auto"/>
          <w:highlight w:val="none"/>
          <w:lang w:val="en-US"/>
        </w:rPr>
        <w:t>÷0.8</w:t>
      </w:r>
      <w:r>
        <w:rPr>
          <w:rFonts w:hint="eastAsia" w:ascii="宋体" w:hAnsi="宋体"/>
          <w:color w:val="auto"/>
          <w:highlight w:val="none"/>
          <w:lang w:val="en-US" w:eastAsia="zh-CN"/>
        </w:rPr>
        <w:t>=30</w:t>
      </w:r>
      <w:r>
        <w:rPr>
          <w:rFonts w:hint="eastAsia" w:ascii="宋体" w:hAnsi="宋体"/>
          <w:color w:val="auto"/>
          <w:highlight w:val="none"/>
          <w:lang w:val="en-US"/>
        </w:rPr>
        <w:t>TB。</w:t>
      </w:r>
    </w:p>
    <w:p w14:paraId="508828C8">
      <w:pPr>
        <w:pStyle w:val="5"/>
        <w:bidi w:val="0"/>
        <w:ind w:left="720" w:leftChars="0" w:hanging="720" w:firstLineChars="0"/>
      </w:pPr>
      <w:r>
        <w:rPr>
          <w:rFonts w:hint="eastAsia"/>
        </w:rPr>
        <w:t>网络资源池设计</w:t>
      </w:r>
    </w:p>
    <w:p w14:paraId="440621E2">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次网络虚拟化需要在虚拟机和物理网络之间，提供一整套完整的逻辑网络设备、连接和服务，包括分布式虚拟交换机、虚拟路由器等。虚拟网络需要支持所画即所得的方式快速完成不同应用系统的网络部署，网络配置的自动化调整，网络故障排查等工作，提升网络的管理运维效率，提升网络就绪、扩展速度，降低数据中心物理网络的建设成本。采用分布式设计的虚拟路由和虚拟交换机，在出现故障的时候能够实现秒级切换，从而避免虚拟设备的单点故障，物理设备和链路需采用集群部署和链路聚合，能够避免物理环境的单点故障，最终实现整个虚拟网络环境的高可靠保障，任意环节出现故障，都能被自动检测出来，并快速恢复业务。</w:t>
      </w:r>
    </w:p>
    <w:p w14:paraId="59548A64">
      <w:pPr>
        <w:widowControl w:val="0"/>
        <w:ind w:firstLine="480" w:firstLineChars="200"/>
        <w:rPr>
          <w:rFonts w:ascii="宋体" w:hAnsi="宋体"/>
          <w:color w:val="auto"/>
          <w:highlight w:val="none"/>
          <w:lang w:val="en-US"/>
        </w:rPr>
      </w:pPr>
      <w:r>
        <w:rPr>
          <w:rFonts w:hint="eastAsia" w:ascii="宋体" w:hAnsi="宋体"/>
          <w:color w:val="auto"/>
          <w:highlight w:val="none"/>
          <w:lang w:val="en-US"/>
        </w:rPr>
        <w:t>本方案在交换机划分VLAN，将管理、业务、存储三个平面逻辑隔离：</w:t>
      </w:r>
    </w:p>
    <w:p w14:paraId="0926E758">
      <w:pPr>
        <w:widowControl w:val="0"/>
        <w:ind w:firstLine="480" w:firstLineChars="200"/>
        <w:rPr>
          <w:rFonts w:ascii="宋体" w:hAnsi="宋体"/>
          <w:color w:val="auto"/>
          <w:highlight w:val="none"/>
          <w:lang w:val="en-US"/>
        </w:rPr>
      </w:pPr>
      <w:r>
        <w:rPr>
          <w:rFonts w:hint="eastAsia" w:ascii="宋体" w:hAnsi="宋体"/>
          <w:color w:val="auto"/>
          <w:highlight w:val="none"/>
          <w:lang w:val="en-US"/>
        </w:rPr>
        <w:t>存储网络：用于承载运算器和磁盘阵列之间的专用数据访问。存储网络通过多路径确保链路冗余，运算器与存储设备通过存储网络二层直接互通。存储设备为虚拟机提供存储资源，但不直接与虚拟机通信，而通过虚拟化平台转化。</w:t>
      </w:r>
    </w:p>
    <w:p w14:paraId="17C1EEC5">
      <w:pPr>
        <w:widowControl w:val="0"/>
        <w:ind w:firstLine="480" w:firstLineChars="200"/>
        <w:rPr>
          <w:rFonts w:ascii="宋体" w:hAnsi="宋体"/>
          <w:color w:val="auto"/>
          <w:highlight w:val="none"/>
          <w:lang w:val="en-US"/>
        </w:rPr>
      </w:pPr>
      <w:r>
        <w:rPr>
          <w:rFonts w:hint="eastAsia" w:ascii="宋体" w:hAnsi="宋体"/>
          <w:color w:val="auto"/>
          <w:highlight w:val="none"/>
          <w:lang w:val="en-US"/>
        </w:rPr>
        <w:t>业务网络：为用户提供业务通道，为虚拟机虚拟网卡的通信平面，对外提供业务应用。各业务部门可以细分VLAN进行访问隔离。</w:t>
      </w:r>
    </w:p>
    <w:p w14:paraId="5E0CA374">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管理网络：负责整个云计算系统的管理、业务部署、系统加载等流量的通信。BMC平面主要负责运算器的管理，BMC平面可以和管理平面隔离，也可以不进行隔离。</w:t>
      </w:r>
    </w:p>
    <w:p w14:paraId="1BD493F8">
      <w:pPr>
        <w:pStyle w:val="3"/>
        <w:bidi w:val="0"/>
        <w:ind w:left="575" w:leftChars="0" w:hanging="575" w:firstLineChars="0"/>
      </w:pPr>
      <w:bookmarkStart w:id="26" w:name="_Toc16990"/>
      <w:bookmarkStart w:id="27" w:name="_Toc54343072"/>
      <w:bookmarkStart w:id="28" w:name="_Toc30937"/>
      <w:r>
        <w:rPr>
          <w:rFonts w:hint="eastAsia"/>
        </w:rPr>
        <w:t>可靠性设计</w:t>
      </w:r>
      <w:bookmarkEnd w:id="26"/>
      <w:bookmarkEnd w:id="27"/>
      <w:bookmarkEnd w:id="28"/>
    </w:p>
    <w:p w14:paraId="06AAEF62">
      <w:pPr>
        <w:pStyle w:val="5"/>
        <w:bidi w:val="0"/>
        <w:ind w:left="720" w:leftChars="0" w:hanging="720" w:firstLineChars="0"/>
      </w:pPr>
      <w:bookmarkStart w:id="29" w:name="_Toc7565"/>
      <w:bookmarkStart w:id="30" w:name="_Toc54343073"/>
      <w:r>
        <w:rPr>
          <w:rFonts w:hint="eastAsia"/>
          <w:lang w:val="en-US" w:eastAsia="zh-CN"/>
        </w:rPr>
        <w:t>架构</w:t>
      </w:r>
      <w:r>
        <w:t>可靠性</w:t>
      </w:r>
      <w:bookmarkEnd w:id="29"/>
      <w:bookmarkEnd w:id="30"/>
    </w:p>
    <w:p w14:paraId="44E2D739">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通信分平面：整个云计算系统逻辑上分为三个平面：管理平面、存储平面和业务平面</w:t>
      </w:r>
      <w:r>
        <w:rPr>
          <w:rFonts w:hint="eastAsia" w:ascii="宋体" w:hAnsi="宋体"/>
          <w:color w:val="auto"/>
          <w:highlight w:val="none"/>
          <w:lang w:val="en-US" w:eastAsia="zh-CN"/>
        </w:rPr>
        <w:t>，</w:t>
      </w:r>
      <w:r>
        <w:rPr>
          <w:rFonts w:hint="eastAsia" w:ascii="宋体" w:hAnsi="宋体"/>
          <w:color w:val="auto"/>
          <w:highlight w:val="none"/>
          <w:lang w:val="en-US"/>
        </w:rPr>
        <w:t xml:space="preserve">不同平面间采用 </w:t>
      </w:r>
      <w:r>
        <w:rPr>
          <w:rFonts w:hint="default" w:ascii="宋体" w:hAnsi="宋体"/>
          <w:color w:val="auto"/>
          <w:highlight w:val="none"/>
          <w:lang w:val="en-US"/>
        </w:rPr>
        <w:t xml:space="preserve">VLAN </w:t>
      </w:r>
      <w:r>
        <w:rPr>
          <w:rFonts w:hint="eastAsia" w:ascii="宋体" w:hAnsi="宋体"/>
          <w:color w:val="auto"/>
          <w:highlight w:val="none"/>
          <w:lang w:val="en-US"/>
        </w:rPr>
        <w:t>进行隔离，单个平面的故障不影响其他平面继续工作。</w:t>
      </w:r>
    </w:p>
    <w:p w14:paraId="0F1F9769">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管理节点</w:t>
      </w:r>
      <w:r>
        <w:rPr>
          <w:rFonts w:hint="eastAsia" w:ascii="宋体" w:hAnsi="宋体"/>
          <w:color w:val="auto"/>
          <w:highlight w:val="none"/>
          <w:lang w:val="en-US" w:eastAsia="zh-CN"/>
        </w:rPr>
        <w:t>冗余</w:t>
      </w:r>
      <w:r>
        <w:rPr>
          <w:rFonts w:hint="eastAsia" w:ascii="宋体" w:hAnsi="宋体"/>
          <w:color w:val="auto"/>
          <w:highlight w:val="none"/>
          <w:lang w:val="en-US"/>
        </w:rPr>
        <w:t>：管理节点采用</w:t>
      </w:r>
      <w:r>
        <w:rPr>
          <w:rFonts w:hint="eastAsia" w:ascii="宋体" w:hAnsi="宋体"/>
          <w:color w:val="auto"/>
          <w:highlight w:val="none"/>
          <w:lang w:val="en-US" w:eastAsia="zh-CN"/>
        </w:rPr>
        <w:t>主备冗余设计，</w:t>
      </w:r>
      <w:r>
        <w:rPr>
          <w:rFonts w:hint="eastAsia" w:ascii="宋体" w:hAnsi="宋体"/>
          <w:color w:val="auto"/>
          <w:highlight w:val="none"/>
          <w:lang w:val="en-US"/>
        </w:rPr>
        <w:t>备节点实时检测主节点的健康状态，一旦发现主管理节点故障，备管理节点将立刻接管主节点业务，持续对外提供服务。</w:t>
      </w:r>
    </w:p>
    <w:p w14:paraId="37004116">
      <w:pPr>
        <w:widowControl w:val="0"/>
        <w:ind w:firstLine="480" w:firstLineChars="200"/>
        <w:rPr>
          <w:rFonts w:hint="eastAsia" w:ascii="宋体" w:hAnsi="宋体" w:eastAsia="宋体"/>
          <w:color w:val="auto"/>
          <w:highlight w:val="none"/>
          <w:lang w:val="en-US" w:eastAsia="zh-CN"/>
        </w:rPr>
      </w:pPr>
      <w:r>
        <w:rPr>
          <w:rFonts w:hint="eastAsia" w:ascii="宋体" w:hAnsi="宋体"/>
          <w:color w:val="auto"/>
          <w:highlight w:val="none"/>
          <w:lang w:val="en-US"/>
        </w:rPr>
        <w:t>管理数据备份与恢复：提供管理节点配置数据和业务数据定期备份能力，当管理节点服务异常无法自动修复时，通过本地备份的数据立即恢复</w:t>
      </w:r>
      <w:r>
        <w:rPr>
          <w:rFonts w:hint="eastAsia" w:ascii="宋体" w:hAnsi="宋体"/>
          <w:color w:val="auto"/>
          <w:highlight w:val="none"/>
          <w:lang w:val="en-US" w:eastAsia="zh-CN"/>
        </w:rPr>
        <w:t>。</w:t>
      </w:r>
    </w:p>
    <w:p w14:paraId="64CB3C9D">
      <w:pPr>
        <w:pStyle w:val="5"/>
        <w:bidi w:val="0"/>
        <w:ind w:left="720" w:leftChars="0" w:hanging="720" w:firstLineChars="0"/>
      </w:pPr>
      <w:r>
        <w:rPr>
          <w:rFonts w:hint="eastAsia"/>
          <w:lang w:val="en-US" w:eastAsia="zh-CN"/>
        </w:rPr>
        <w:t>集群</w:t>
      </w:r>
      <w:r>
        <w:rPr>
          <w:rFonts w:hint="eastAsia"/>
        </w:rPr>
        <w:t>可靠性</w:t>
      </w:r>
    </w:p>
    <w:p w14:paraId="3EDA102E">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虚拟机热迁移：如果某台物理机运行状态出现异常，在进一步恶化之前将该物理机上运行的业务迁移到正常运行的物理机上，就可以为客户提供高可用性的系统。依赖此技术，更换服务器硬件时不会对虚拟机上的业务造成影响。</w:t>
      </w:r>
    </w:p>
    <w:p w14:paraId="2713C029">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存储冷热迁移：虚拟机磁盘的冷迁移和热迁移，冷迁移是在虚拟机关机时候，将其磁盘文件从一个存储移动到另一个存储，热迁移可以在不中断业务的前提下，将虚拟机磁盘从一个存储迁移至另一个存储。此技术使的更换存储设备时不会对虚拟机业务造成影响。</w:t>
      </w:r>
    </w:p>
    <w:p w14:paraId="7E6941FA">
      <w:pPr>
        <w:widowControl w:val="0"/>
        <w:ind w:firstLine="480" w:firstLineChars="200"/>
        <w:rPr>
          <w:rFonts w:hint="eastAsia" w:ascii="宋体" w:hAnsi="宋体"/>
          <w:color w:val="auto"/>
          <w:highlight w:val="none"/>
          <w:lang w:val="en-US"/>
        </w:rPr>
      </w:pPr>
      <w:r>
        <w:rPr>
          <w:rFonts w:hint="eastAsia" w:ascii="宋体" w:hAnsi="宋体"/>
          <w:color w:val="auto"/>
          <w:highlight w:val="none"/>
          <w:lang w:val="en-US"/>
        </w:rPr>
        <w:t>虚拟机负载均衡：系统发放一个虚拟机、虚拟机热迁移或者计算节点故障异地重启恢复时，在系统配置成负载均衡模式的情况下，根据各个物理计算服务器节点现有的负载状况进行动态的调配，使得集群中各个物理计算服务器的负载处于一个动态的均衡状态。</w:t>
      </w:r>
    </w:p>
    <w:p w14:paraId="58EFDB4E">
      <w:pPr>
        <w:rPr>
          <w:color w:val="auto"/>
          <w:highlight w:val="none"/>
        </w:rPr>
      </w:pPr>
      <w:r>
        <w:rPr>
          <w:rFonts w:hint="eastAsia" w:ascii="宋体" w:hAnsi="宋体"/>
          <w:color w:val="auto"/>
          <w:highlight w:val="none"/>
          <w:lang w:val="en-US"/>
        </w:rPr>
        <w:t>虚拟机</w:t>
      </w:r>
      <w:r>
        <w:rPr>
          <w:rFonts w:hint="default" w:ascii="宋体" w:hAnsi="宋体"/>
          <w:color w:val="auto"/>
          <w:highlight w:val="none"/>
          <w:lang w:val="en-US"/>
        </w:rPr>
        <w:t>HA</w:t>
      </w:r>
      <w:r>
        <w:rPr>
          <w:rFonts w:hint="eastAsia" w:ascii="宋体" w:hAnsi="宋体"/>
          <w:color w:val="auto"/>
          <w:highlight w:val="none"/>
          <w:lang w:val="en-US"/>
        </w:rPr>
        <w:t>：当物理服务器宕机或者重启，系统可以将具有</w:t>
      </w:r>
      <w:r>
        <w:rPr>
          <w:rFonts w:hint="default" w:ascii="宋体" w:hAnsi="宋体"/>
          <w:color w:val="auto"/>
          <w:highlight w:val="none"/>
          <w:lang w:val="en-US"/>
        </w:rPr>
        <w:t>HA</w:t>
      </w:r>
      <w:r>
        <w:rPr>
          <w:rFonts w:hint="eastAsia" w:ascii="宋体" w:hAnsi="宋体"/>
          <w:color w:val="auto"/>
          <w:highlight w:val="none"/>
          <w:lang w:val="en-US"/>
        </w:rPr>
        <w:t>属性的虚拟机故障迁移到其他计算服务器，保证虚拟机能够快速恢复。</w:t>
      </w:r>
      <w:r>
        <w:rPr>
          <w:rFonts w:hint="default" w:ascii="宋体" w:hAnsi="宋体"/>
          <w:color w:val="auto"/>
          <w:highlight w:val="none"/>
          <w:lang w:val="en-US"/>
        </w:rPr>
        <w:t xml:space="preserve"> </w:t>
      </w:r>
    </w:p>
    <w:p w14:paraId="4B8C16B6">
      <w:pPr>
        <w:pStyle w:val="3"/>
        <w:bidi w:val="0"/>
        <w:ind w:left="575" w:leftChars="0" w:hanging="575" w:firstLineChars="0"/>
      </w:pPr>
      <w:r>
        <w:rPr>
          <w:rFonts w:hint="eastAsia"/>
        </w:rPr>
        <w:t>统一存储设计</w:t>
      </w:r>
    </w:p>
    <w:p w14:paraId="074143C2">
      <w:pPr>
        <w:pStyle w:val="5"/>
        <w:bidi w:val="0"/>
        <w:ind w:left="720" w:leftChars="0" w:hanging="720" w:firstLineChars="0"/>
      </w:pPr>
      <w:r>
        <w:rPr>
          <w:rFonts w:hint="eastAsia"/>
        </w:rPr>
        <w:t>块存储设计</w:t>
      </w:r>
    </w:p>
    <w:p w14:paraId="0469D77F">
      <w:pPr>
        <w:widowControl w:val="0"/>
        <w:ind w:firstLine="480" w:firstLineChars="200"/>
        <w:rPr>
          <w:rFonts w:hint="eastAsia" w:ascii="宋体" w:hAnsi="宋体" w:cstheme="minorBidi"/>
          <w:color w:val="auto"/>
          <w:kern w:val="2"/>
          <w:highlight w:val="none"/>
          <w:lang w:val="en-US" w:eastAsia="zh-CN"/>
        </w:rPr>
      </w:pPr>
      <w:r>
        <w:rPr>
          <w:rFonts w:hint="eastAsia" w:ascii="宋体" w:hAnsi="宋体" w:cstheme="minorBidi"/>
          <w:color w:val="auto"/>
          <w:kern w:val="2"/>
          <w:highlight w:val="none"/>
          <w:lang w:val="en-US"/>
        </w:rPr>
        <w:t>块存储是一种将物理存储资源抽象为逻辑块设备（LUN）进行统一管理的存储方式。其基本原理是将底层物理磁盘（HDD/SSD）的存储空间划分为若干大小固定的数据块（Block），通过存储网络（FC-SAN、IP-SAN）或直连方式将逻辑块设备映射给上层应用服务器，由服务器端操作系统自行对块设备进行分区、格式化和文件系统管理。块存储的读写以数据块为单位，支持随机访问，能够为上层应用提供高性能、低延迟的存储服务</w:t>
      </w:r>
      <w:r>
        <w:rPr>
          <w:rFonts w:hint="eastAsia" w:ascii="宋体" w:hAnsi="宋体" w:cstheme="minorBidi"/>
          <w:color w:val="auto"/>
          <w:kern w:val="2"/>
          <w:highlight w:val="none"/>
          <w:lang w:val="en-US" w:eastAsia="zh-CN"/>
        </w:rPr>
        <w:t>。</w:t>
      </w:r>
    </w:p>
    <w:p w14:paraId="502E4CCB">
      <w:pPr>
        <w:widowControl w:val="0"/>
        <w:ind w:firstLine="480" w:firstLineChars="200"/>
        <w:rPr>
          <w:rFonts w:hint="eastAsia" w:ascii="宋体" w:hAnsi="宋体" w:cstheme="minorBidi"/>
          <w:color w:val="auto"/>
          <w:kern w:val="2"/>
          <w:highlight w:val="none"/>
          <w:lang w:val="en-US" w:eastAsia="zh-CN"/>
        </w:rPr>
      </w:pPr>
      <w:r>
        <w:rPr>
          <w:rFonts w:hint="eastAsia" w:ascii="宋体" w:hAnsi="宋体" w:cstheme="minorBidi"/>
          <w:color w:val="auto"/>
          <w:kern w:val="2"/>
          <w:highlight w:val="none"/>
          <w:lang w:val="en-US" w:eastAsia="zh-CN"/>
        </w:rPr>
        <w:t>块存储主要用于结构化数据的存储，承担医院核心业务系统的数据承载，具体包括：</w:t>
      </w:r>
    </w:p>
    <w:p w14:paraId="5AB50C65">
      <w:pPr>
        <w:widowControl w:val="0"/>
        <w:ind w:firstLine="480" w:firstLineChars="200"/>
        <w:rPr>
          <w:rFonts w:hint="eastAsia" w:ascii="宋体" w:hAnsi="宋体" w:cstheme="minorBidi"/>
          <w:color w:val="auto"/>
          <w:kern w:val="2"/>
          <w:highlight w:val="none"/>
          <w:lang w:val="en-US" w:eastAsia="zh-CN"/>
        </w:rPr>
      </w:pPr>
      <w:r>
        <w:rPr>
          <w:rFonts w:hint="eastAsia" w:ascii="宋体" w:hAnsi="宋体" w:cstheme="minorBidi"/>
          <w:color w:val="auto"/>
          <w:kern w:val="2"/>
          <w:highlight w:val="none"/>
          <w:lang w:val="en-US" w:eastAsia="zh-CN"/>
        </w:rPr>
        <w:t>（1）核心业务系统数据库存储：HIS、LIS、EMR、PACS 主数据库等系统的数据库文件存储，对IOPS、延迟和可靠性要求最高；</w:t>
      </w:r>
    </w:p>
    <w:p w14:paraId="4FCB603B">
      <w:pPr>
        <w:widowControl w:val="0"/>
        <w:ind w:firstLine="480" w:firstLineChars="200"/>
        <w:rPr>
          <w:rFonts w:hint="eastAsia" w:ascii="宋体" w:hAnsi="宋体" w:cstheme="minorBidi"/>
          <w:color w:val="auto"/>
          <w:kern w:val="2"/>
          <w:highlight w:val="none"/>
          <w:lang w:val="en-US" w:eastAsia="zh-CN"/>
        </w:rPr>
      </w:pPr>
      <w:r>
        <w:rPr>
          <w:rFonts w:hint="eastAsia" w:ascii="宋体" w:hAnsi="宋体" w:cstheme="minorBidi"/>
          <w:color w:val="auto"/>
          <w:kern w:val="2"/>
          <w:highlight w:val="none"/>
          <w:lang w:val="en-US" w:eastAsia="zh-CN"/>
        </w:rPr>
        <w:t>（2）应用服务器数据卷：各类业务应用服务器的系统盘、数据盘及日志分区；</w:t>
      </w:r>
    </w:p>
    <w:p w14:paraId="49CC07BC">
      <w:pPr>
        <w:widowControl w:val="0"/>
        <w:ind w:firstLine="480" w:firstLineChars="200"/>
        <w:rPr>
          <w:rFonts w:hint="eastAsia" w:ascii="宋体" w:hAnsi="宋体" w:cstheme="minorBidi"/>
          <w:color w:val="auto"/>
          <w:kern w:val="2"/>
          <w:highlight w:val="none"/>
          <w:lang w:val="en-US" w:eastAsia="zh-CN"/>
        </w:rPr>
      </w:pPr>
      <w:r>
        <w:rPr>
          <w:rFonts w:hint="eastAsia" w:ascii="宋体" w:hAnsi="宋体" w:cstheme="minorBidi"/>
          <w:color w:val="auto"/>
          <w:kern w:val="2"/>
          <w:highlight w:val="none"/>
          <w:lang w:val="en-US" w:eastAsia="zh-CN"/>
        </w:rPr>
        <w:t>（3）虚拟化平台数据存储：作为虚拟化资源池的后端存储，承载虚拟机磁盘文件，配合虚拟化平台实现 HA、在线热迁移等能力。</w:t>
      </w:r>
    </w:p>
    <w:p w14:paraId="275F6D39">
      <w:pPr>
        <w:pStyle w:val="5"/>
        <w:bidi w:val="0"/>
        <w:ind w:left="720" w:leftChars="0" w:hanging="720" w:firstLineChars="0"/>
      </w:pPr>
      <w:r>
        <w:rPr>
          <w:rFonts w:hint="eastAsia"/>
        </w:rPr>
        <w:t>对象存储设计</w:t>
      </w:r>
    </w:p>
    <w:p w14:paraId="7FBE7AEB">
      <w:pPr>
        <w:widowControl w:val="0"/>
        <w:ind w:firstLine="480" w:firstLineChars="200"/>
        <w:rPr>
          <w:rFonts w:hint="eastAsia" w:ascii="宋体" w:hAnsi="宋体" w:cstheme="minorBidi"/>
          <w:color w:val="auto"/>
          <w:kern w:val="2"/>
          <w:highlight w:val="none"/>
          <w:lang w:val="en-US"/>
        </w:rPr>
      </w:pPr>
      <w:r>
        <w:rPr>
          <w:rFonts w:ascii="宋体" w:hAnsi="宋体" w:cstheme="minorBidi"/>
          <w:color w:val="auto"/>
          <w:kern w:val="2"/>
          <w:highlight w:val="none"/>
          <w:lang w:val="en-US"/>
        </w:rPr>
        <w:t>对象存储是一种将数据以对象形式进行存储的技术，每个对象包含数据本身、元数据以及唯一标识符。对象存储采用扁平化命名空间，通过唯一标识符即可快速定位数据，没有目录层级关系</w:t>
      </w:r>
      <w:r>
        <w:rPr>
          <w:rFonts w:hint="eastAsia" w:ascii="宋体" w:hAnsi="宋体" w:cstheme="minorBidi"/>
          <w:color w:val="auto"/>
          <w:kern w:val="2"/>
          <w:highlight w:val="none"/>
          <w:lang w:val="en-US"/>
        </w:rPr>
        <w:t>，避免了目录遍历带来的性能瓶颈。对象存储天然适合海量非结构化数据的存储、检索和长期保存，是构建医院PACS影像存储体系的首选技术。</w:t>
      </w:r>
    </w:p>
    <w:p w14:paraId="57075A9B">
      <w:pPr>
        <w:widowControl w:val="0"/>
        <w:ind w:firstLine="480" w:firstLineChars="200"/>
        <w:rPr>
          <w:rFonts w:hint="eastAsia" w:ascii="宋体" w:hAnsi="宋体" w:cstheme="minorBidi"/>
          <w:color w:val="auto"/>
          <w:kern w:val="2"/>
          <w:highlight w:val="none"/>
          <w:lang w:val="en-US"/>
        </w:rPr>
      </w:pPr>
      <w:r>
        <w:rPr>
          <w:rFonts w:hint="eastAsia" w:ascii="宋体" w:hAnsi="宋体" w:cstheme="minorBidi"/>
          <w:color w:val="auto"/>
          <w:kern w:val="2"/>
          <w:highlight w:val="none"/>
          <w:lang w:val="en-US"/>
        </w:rPr>
        <w:t>PACS影像数据是典型的非结构化海量数据，具有数据量大、增长迅速、长期保存、并发调阅频繁等特点。医院医学影像检查（CT、MR、DR、超声等）单次检查产生的数据量从数十MB至数GB不等，且随检查量的增加呈指数级增长。对象存储凭借其海量扩展、扁平寻址、高并发及低成本优势，能够很好地满足PACS影像数据的存储需求：</w:t>
      </w:r>
    </w:p>
    <w:p w14:paraId="4E0A5463">
      <w:pPr>
        <w:widowControl w:val="0"/>
        <w:ind w:firstLine="480" w:firstLineChars="200"/>
        <w:rPr>
          <w:rFonts w:hint="eastAsia" w:ascii="宋体" w:hAnsi="宋体" w:cstheme="minorBidi"/>
          <w:color w:val="auto"/>
          <w:kern w:val="2"/>
          <w:highlight w:val="none"/>
          <w:lang w:val="en-US"/>
        </w:rPr>
      </w:pPr>
      <w:r>
        <w:rPr>
          <w:rFonts w:hint="eastAsia" w:ascii="宋体" w:hAnsi="宋体" w:cstheme="minorBidi"/>
          <w:color w:val="auto"/>
          <w:kern w:val="2"/>
          <w:highlight w:val="none"/>
          <w:lang w:val="en-US"/>
        </w:rPr>
        <w:t>（1）影像数据存储：作为PACS影像存储的后端，承载DICOM格式影像数据，支持影像的在线快速上传与调阅，满足临床科室高并发调阅需求。</w:t>
      </w:r>
    </w:p>
    <w:p w14:paraId="397781D0">
      <w:pPr>
        <w:widowControl w:val="0"/>
        <w:ind w:firstLine="480" w:firstLineChars="200"/>
        <w:rPr>
          <w:rFonts w:hint="eastAsia" w:ascii="宋体" w:hAnsi="宋体" w:cstheme="minorBidi"/>
          <w:color w:val="auto"/>
          <w:kern w:val="2"/>
          <w:highlight w:val="none"/>
          <w:lang w:val="en-US"/>
        </w:rPr>
      </w:pPr>
      <w:r>
        <w:rPr>
          <w:rFonts w:hint="eastAsia" w:ascii="宋体" w:hAnsi="宋体" w:cstheme="minorBidi"/>
          <w:color w:val="auto"/>
          <w:kern w:val="2"/>
          <w:highlight w:val="none"/>
          <w:lang w:val="en-US"/>
        </w:rPr>
        <w:t>（2）长期保存：按照医疗卫生行业对医学影像保存期限的管理要求，对象存储通过在线（热）— 近线（温）— 离线（冷）分层存储机制，将近期数据存放于高性能层以保证调阅速度，将历史数据自动迁移至大容量低成本层，在满足合规要求的同时有效控制存储成本。</w:t>
      </w:r>
    </w:p>
    <w:p w14:paraId="44A93EAE">
      <w:pPr>
        <w:widowControl w:val="0"/>
        <w:ind w:firstLine="480" w:firstLineChars="200"/>
        <w:rPr>
          <w:color w:val="auto"/>
          <w:highlight w:val="none"/>
        </w:rPr>
      </w:pPr>
      <w:r>
        <w:rPr>
          <w:rFonts w:hint="eastAsia" w:ascii="宋体" w:hAnsi="宋体" w:cstheme="minorBidi"/>
          <w:color w:val="auto"/>
          <w:kern w:val="2"/>
          <w:highlight w:val="none"/>
          <w:lang w:val="en-US"/>
        </w:rPr>
        <w:t>（3）数据保护：通过纠删码/多副本、版本管理、跨站点容灾以及防篡改（WORM）等机制，确保影像数据的完整性、安全性与不可抵赖性。</w:t>
      </w:r>
    </w:p>
    <w:p w14:paraId="534E34AF">
      <w:pPr>
        <w:pStyle w:val="3"/>
        <w:bidi w:val="0"/>
        <w:ind w:left="575" w:leftChars="0" w:hanging="575" w:firstLineChars="0"/>
      </w:pPr>
      <w:r>
        <w:rPr>
          <w:rFonts w:hint="eastAsia"/>
        </w:rPr>
        <w:t>虚拟机设计</w:t>
      </w:r>
    </w:p>
    <w:p w14:paraId="6562BA19">
      <w:pPr>
        <w:pStyle w:val="5"/>
        <w:bidi w:val="0"/>
        <w:ind w:left="720" w:leftChars="0" w:hanging="720" w:firstLineChars="0"/>
      </w:pPr>
      <w:bookmarkStart w:id="31" w:name="_Toc54343097"/>
      <w:r>
        <w:rPr>
          <w:rFonts w:hint="eastAsia"/>
        </w:rPr>
        <w:t>虚拟机管理设计</w:t>
      </w:r>
      <w:bookmarkEnd w:id="31"/>
    </w:p>
    <w:p w14:paraId="1AD6CB37">
      <w:pPr>
        <w:widowControl w:val="0"/>
        <w:ind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在</w:t>
      </w:r>
      <w:r>
        <w:rPr>
          <w:rFonts w:hint="eastAsia" w:ascii="宋体" w:hAnsi="宋体" w:cstheme="minorBidi"/>
          <w:color w:val="auto"/>
          <w:kern w:val="2"/>
          <w:highlight w:val="none"/>
          <w:lang w:val="en-US" w:eastAsia="zh-CN"/>
        </w:rPr>
        <w:t>云计算管理平台</w:t>
      </w:r>
      <w:r>
        <w:rPr>
          <w:rFonts w:hint="eastAsia" w:ascii="宋体" w:hAnsi="宋体" w:cstheme="minorBidi"/>
          <w:color w:val="auto"/>
          <w:kern w:val="2"/>
          <w:highlight w:val="none"/>
          <w:lang w:val="en-US"/>
        </w:rPr>
        <w:t>软件中完成虚拟机的创建后，可以根据实际需要对虚拟机的系统配置进行修改。在基础功能方面，</w:t>
      </w:r>
      <w:r>
        <w:rPr>
          <w:rFonts w:hint="eastAsia" w:ascii="宋体" w:hAnsi="宋体" w:cstheme="minorBidi"/>
          <w:color w:val="auto"/>
          <w:kern w:val="2"/>
          <w:highlight w:val="none"/>
          <w:lang w:val="en-US" w:eastAsia="zh-CN"/>
        </w:rPr>
        <w:t>云计算管理平台</w:t>
      </w:r>
      <w:r>
        <w:rPr>
          <w:rFonts w:hint="eastAsia" w:ascii="宋体" w:hAnsi="宋体" w:cstheme="minorBidi"/>
          <w:color w:val="auto"/>
          <w:kern w:val="2"/>
          <w:highlight w:val="none"/>
          <w:lang w:val="en-US"/>
        </w:rPr>
        <w:t>软件应支持如调整虚拟机的CPU数量，内存大小，增加或删除网卡、磁盘、显卡或PCI设备等；可以对虚拟机进行迁移，以达到系统运行最优化的目的；还可以对虚拟机进行快照或备份，保证数据的安全。</w:t>
      </w:r>
      <w:r>
        <w:rPr>
          <w:rFonts w:hint="eastAsia" w:ascii="宋体" w:hAnsi="宋体" w:cstheme="minorBidi"/>
          <w:color w:val="auto"/>
          <w:kern w:val="2"/>
          <w:highlight w:val="none"/>
          <w:lang w:val="en-US" w:eastAsia="zh-CN"/>
        </w:rPr>
        <w:t>云计算管理平台</w:t>
      </w:r>
      <w:r>
        <w:rPr>
          <w:rFonts w:hint="eastAsia" w:ascii="宋体" w:hAnsi="宋体" w:cstheme="minorBidi"/>
          <w:color w:val="auto"/>
          <w:kern w:val="2"/>
          <w:highlight w:val="none"/>
          <w:lang w:val="en-US"/>
        </w:rPr>
        <w:t>虚拟机管理应支持如下更多详细功能：</w:t>
      </w:r>
    </w:p>
    <w:p w14:paraId="5BDB6323">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eastAsia="zh-CN"/>
        </w:rPr>
        <w:t>云计算</w:t>
      </w:r>
      <w:r>
        <w:rPr>
          <w:rFonts w:hint="eastAsia" w:ascii="宋体" w:hAnsi="宋体" w:cstheme="minorBidi"/>
          <w:color w:val="auto"/>
          <w:kern w:val="2"/>
          <w:highlight w:val="none"/>
          <w:lang w:val="en-US"/>
        </w:rPr>
        <w:t>管理</w:t>
      </w:r>
      <w:r>
        <w:rPr>
          <w:rFonts w:hint="eastAsia" w:ascii="宋体" w:hAnsi="宋体" w:cstheme="minorBidi"/>
          <w:color w:val="auto"/>
          <w:kern w:val="2"/>
          <w:highlight w:val="none"/>
          <w:lang w:val="en-US" w:eastAsia="zh-CN"/>
        </w:rPr>
        <w:t>平台</w:t>
      </w:r>
      <w:r>
        <w:rPr>
          <w:rFonts w:hint="eastAsia" w:ascii="宋体" w:hAnsi="宋体" w:cstheme="minorBidi"/>
          <w:color w:val="auto"/>
          <w:kern w:val="2"/>
          <w:highlight w:val="none"/>
          <w:lang w:val="en-US"/>
        </w:rPr>
        <w:t>软件提供虚拟机启动、暂停、恢复、休眠、重启、关闭、克隆、迁移、删除、快照等功能。</w:t>
      </w:r>
    </w:p>
    <w:p w14:paraId="57B3E7F8">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eastAsia="zh-CN"/>
        </w:rPr>
        <w:t>云计算</w:t>
      </w:r>
      <w:r>
        <w:rPr>
          <w:rFonts w:hint="eastAsia" w:ascii="宋体" w:hAnsi="宋体" w:cstheme="minorBidi"/>
          <w:color w:val="auto"/>
          <w:kern w:val="2"/>
          <w:highlight w:val="none"/>
          <w:lang w:val="en-US"/>
        </w:rPr>
        <w:t>管理</w:t>
      </w:r>
      <w:r>
        <w:rPr>
          <w:rFonts w:hint="eastAsia" w:ascii="宋体" w:hAnsi="宋体" w:cstheme="minorBidi"/>
          <w:color w:val="auto"/>
          <w:kern w:val="2"/>
          <w:highlight w:val="none"/>
          <w:lang w:val="en-US" w:eastAsia="zh-CN"/>
        </w:rPr>
        <w:t>平台</w:t>
      </w:r>
      <w:r>
        <w:rPr>
          <w:rFonts w:hint="eastAsia" w:ascii="宋体" w:hAnsi="宋体" w:cstheme="minorBidi"/>
          <w:color w:val="auto"/>
          <w:kern w:val="2"/>
          <w:highlight w:val="none"/>
          <w:lang w:val="en-US"/>
        </w:rPr>
        <w:t>软件提供热添加CPU、内存、磁盘、网卡的功能，无需中断或停机即可实现虚拟资源的在线添加。</w:t>
      </w:r>
    </w:p>
    <w:p w14:paraId="0DF948B9">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虚拟机应支持现有市场上主要国内外操作系统，包括Windows、CentOS、RedHat、SUSE、Ubuntu、openEuler</w:t>
      </w:r>
      <w:r>
        <w:rPr>
          <w:rFonts w:hint="eastAsia" w:ascii="宋体" w:hAnsi="宋体" w:cstheme="minorBidi"/>
          <w:color w:val="auto"/>
          <w:kern w:val="2"/>
          <w:highlight w:val="none"/>
          <w:lang w:val="en-US" w:eastAsia="zh-CN"/>
        </w:rPr>
        <w:t>、</w:t>
      </w:r>
      <w:r>
        <w:rPr>
          <w:rFonts w:hint="eastAsia" w:ascii="宋体" w:hAnsi="宋体" w:cstheme="minorBidi"/>
          <w:color w:val="auto"/>
          <w:kern w:val="2"/>
          <w:highlight w:val="none"/>
          <w:lang w:val="en-US"/>
        </w:rPr>
        <w:t>中标红旗、中标麒麟、深度等。</w:t>
      </w:r>
    </w:p>
    <w:p w14:paraId="4A7CA41E">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虚拟机磁盘应支持配置选择共享存储池，包括RBD块存储、NFS网络文件系统、iSCSI网络存储/FC网络存储、共享文件系统等。</w:t>
      </w:r>
    </w:p>
    <w:p w14:paraId="24CC8CB2">
      <w:pPr>
        <w:pStyle w:val="5"/>
        <w:bidi w:val="0"/>
        <w:ind w:left="720" w:leftChars="0" w:hanging="720" w:firstLineChars="0"/>
      </w:pPr>
      <w:bookmarkStart w:id="32" w:name="_Toc54343098"/>
      <w:r>
        <w:rPr>
          <w:rFonts w:hint="eastAsia"/>
        </w:rPr>
        <w:t>虚拟机模板</w:t>
      </w:r>
      <w:bookmarkEnd w:id="32"/>
    </w:p>
    <w:p w14:paraId="22993346">
      <w:pPr>
        <w:widowControl w:val="0"/>
        <w:ind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虚拟机模板是虚拟机操作系统、应用软件和配置文件的集合。</w:t>
      </w:r>
      <w:r>
        <w:rPr>
          <w:rFonts w:hint="eastAsia" w:ascii="宋体" w:hAnsi="宋体" w:cstheme="minorBidi"/>
          <w:color w:val="auto"/>
          <w:kern w:val="2"/>
          <w:highlight w:val="none"/>
          <w:lang w:val="en-US" w:eastAsia="zh-CN"/>
        </w:rPr>
        <w:t>云计算平台</w:t>
      </w:r>
      <w:r>
        <w:rPr>
          <w:rFonts w:hint="eastAsia" w:ascii="宋体" w:hAnsi="宋体" w:cstheme="minorBidi"/>
          <w:color w:val="auto"/>
          <w:kern w:val="2"/>
          <w:highlight w:val="none"/>
          <w:lang w:val="en-US"/>
        </w:rPr>
        <w:t>管理软件应支持通过虚拟机模板，可批量创建多个软硬件规格相同的虚拟机，避免手工创建虚拟机过程中的繁琐配置和出错概率。虚拟机模板应支持如下操作功能：</w:t>
      </w:r>
    </w:p>
    <w:p w14:paraId="5D00758C">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部署虚拟机：通过虚拟机模板来创建新的虚拟机。通过虚拟机模板部署的虚拟机与模板具有相同的操作系统和应用程序。</w:t>
      </w:r>
    </w:p>
    <w:p w14:paraId="66421E04">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修改虚拟机模板：修改虚拟机模板的配置信息，包括CPU个数与核数、内存容量、存储卷名称和容量。若已基于虚拟机模板快速部署了虚拟机，则不允许修改虚拟机模板的名称与存储容量。</w:t>
      </w:r>
    </w:p>
    <w:p w14:paraId="6F2C6318">
      <w:pPr>
        <w:widowControl w:val="0"/>
        <w:numPr>
          <w:ilvl w:val="0"/>
          <w:numId w:val="3"/>
        </w:numPr>
        <w:ind w:left="0"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删除虚拟机模板：删除虚拟机模板。若已基于虚拟机模板快速部署了虚拟机，则删除虚拟机模板时，模板文件将不被删除，继续保留在存储中。</w:t>
      </w:r>
    </w:p>
    <w:p w14:paraId="6F5B1C68">
      <w:pPr>
        <w:pStyle w:val="5"/>
        <w:bidi w:val="0"/>
        <w:ind w:left="720" w:leftChars="0" w:hanging="720" w:firstLineChars="0"/>
      </w:pPr>
      <w:bookmarkStart w:id="33" w:name="_Toc54343099"/>
      <w:r>
        <w:rPr>
          <w:rFonts w:hint="eastAsia"/>
        </w:rPr>
        <w:t>虚拟机迁移</w:t>
      </w:r>
      <w:bookmarkEnd w:id="33"/>
    </w:p>
    <w:p w14:paraId="440820D2">
      <w:pPr>
        <w:widowControl w:val="0"/>
        <w:ind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虚拟机迁移支持</w:t>
      </w:r>
      <w:r>
        <w:rPr>
          <w:rFonts w:hint="eastAsia" w:ascii="宋体" w:hAnsi="宋体" w:cstheme="minorBidi"/>
          <w:color w:val="auto"/>
          <w:kern w:val="2"/>
          <w:highlight w:val="none"/>
          <w:lang w:val="en-US" w:eastAsia="zh-CN"/>
        </w:rPr>
        <w:t>集群</w:t>
      </w:r>
      <w:r>
        <w:rPr>
          <w:rFonts w:hint="eastAsia" w:ascii="宋体" w:hAnsi="宋体" w:cstheme="minorBidi"/>
          <w:color w:val="auto"/>
          <w:kern w:val="2"/>
          <w:highlight w:val="none"/>
          <w:lang w:val="en-US"/>
        </w:rPr>
        <w:t>内VM迁移和跨平台VM迁移两种类型，</w:t>
      </w:r>
      <w:r>
        <w:rPr>
          <w:rFonts w:hint="eastAsia" w:ascii="宋体" w:hAnsi="宋体" w:cstheme="minorBidi"/>
          <w:color w:val="auto"/>
          <w:kern w:val="2"/>
          <w:highlight w:val="none"/>
          <w:lang w:val="en-US" w:eastAsia="zh-CN"/>
        </w:rPr>
        <w:t>集群</w:t>
      </w:r>
      <w:r>
        <w:rPr>
          <w:rFonts w:hint="eastAsia" w:ascii="宋体" w:hAnsi="宋体" w:cstheme="minorBidi"/>
          <w:color w:val="auto"/>
          <w:kern w:val="2"/>
          <w:highlight w:val="none"/>
          <w:lang w:val="en-US"/>
        </w:rPr>
        <w:t>内VM迁移是指更改虚拟机的运行载体，包括计算资源和存储资源：</w:t>
      </w:r>
    </w:p>
    <w:p w14:paraId="7DF3245B">
      <w:pPr>
        <w:widowControl w:val="0"/>
        <w:ind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更改主机：将虚拟机迁移到另一台主机，只有使用共享存储池的虚拟机，才允许以此方式迁移，且目的主机必须挂载该共享存储池。</w:t>
      </w:r>
    </w:p>
    <w:p w14:paraId="57D9C4DB">
      <w:pPr>
        <w:widowControl w:val="0"/>
        <w:ind w:firstLine="480" w:firstLineChars="200"/>
        <w:rPr>
          <w:rFonts w:ascii="宋体" w:hAnsi="宋体" w:cstheme="minorBidi"/>
          <w:color w:val="auto"/>
          <w:kern w:val="2"/>
          <w:highlight w:val="none"/>
          <w:lang w:val="en-US"/>
        </w:rPr>
      </w:pPr>
      <w:r>
        <w:rPr>
          <w:rFonts w:hint="eastAsia" w:ascii="宋体" w:hAnsi="宋体" w:cstheme="minorBidi"/>
          <w:color w:val="auto"/>
          <w:kern w:val="2"/>
          <w:highlight w:val="none"/>
          <w:lang w:val="en-US"/>
        </w:rPr>
        <w:t>更改数据存储：将虚拟机的存储迁移到另一数据存储。</w:t>
      </w:r>
    </w:p>
    <w:p w14:paraId="62C3F1F3">
      <w:pPr>
        <w:widowControl w:val="0"/>
        <w:ind w:firstLine="480" w:firstLineChars="200"/>
        <w:rPr>
          <w:color w:val="auto"/>
          <w:highlight w:val="none"/>
        </w:rPr>
      </w:pPr>
      <w:r>
        <w:rPr>
          <w:rFonts w:hint="eastAsia" w:ascii="宋体" w:hAnsi="宋体" w:cstheme="minorBidi"/>
          <w:color w:val="auto"/>
          <w:kern w:val="2"/>
          <w:highlight w:val="none"/>
          <w:lang w:val="en-US"/>
        </w:rPr>
        <w:t>更改主机和数据存储：将虚拟机迁移到另一台主机，同时将其存储迁移到另一数据存储，目的主机可以是云资源中的任意一台主机。</w:t>
      </w:r>
    </w:p>
    <w:p w14:paraId="065D9266">
      <w:pPr>
        <w:pStyle w:val="3"/>
        <w:bidi w:val="0"/>
        <w:ind w:left="575" w:leftChars="0" w:hanging="575" w:firstLineChars="0"/>
        <w:rPr>
          <w:rFonts w:hint="eastAsia"/>
        </w:rPr>
      </w:pPr>
      <w:bookmarkStart w:id="34" w:name="_Toc14914"/>
      <w:r>
        <w:rPr>
          <w:rFonts w:hint="eastAsia"/>
          <w:lang w:val="en-US" w:eastAsia="zh-CN"/>
        </w:rPr>
        <w:t>云计算</w:t>
      </w:r>
      <w:r>
        <w:rPr>
          <w:rFonts w:hint="eastAsia"/>
        </w:rPr>
        <w:t>数据中心建设清单</w:t>
      </w:r>
      <w:bookmarkEnd w:id="34"/>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389"/>
        <w:gridCol w:w="5066"/>
        <w:gridCol w:w="838"/>
      </w:tblGrid>
      <w:tr w14:paraId="4B3D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719" w:type="dxa"/>
            <w:vAlign w:val="center"/>
          </w:tcPr>
          <w:p w14:paraId="5C0E8FA2">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389" w:type="dxa"/>
            <w:vAlign w:val="center"/>
          </w:tcPr>
          <w:p w14:paraId="35BD26A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5066" w:type="dxa"/>
            <w:vAlign w:val="center"/>
          </w:tcPr>
          <w:p w14:paraId="5BA882E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技术指标与服务要求</w:t>
            </w:r>
          </w:p>
        </w:tc>
        <w:tc>
          <w:tcPr>
            <w:tcW w:w="838" w:type="dxa"/>
            <w:vAlign w:val="center"/>
          </w:tcPr>
          <w:p w14:paraId="2B070B94">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r>
      <w:tr w14:paraId="38AF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vAlign w:val="center"/>
          </w:tcPr>
          <w:p w14:paraId="2A0376C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389" w:type="dxa"/>
            <w:vAlign w:val="center"/>
          </w:tcPr>
          <w:p w14:paraId="6D614A8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超融合服务器</w:t>
            </w:r>
          </w:p>
        </w:tc>
        <w:tc>
          <w:tcPr>
            <w:tcW w:w="5066" w:type="dxa"/>
            <w:vAlign w:val="center"/>
          </w:tcPr>
          <w:p w14:paraId="1C4EFD04">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1.★超融合服务器硬件应满足《通用服务器政府采购需求标准2023年版）》中加*的指标要求，供应商应出具承诺书。</w:t>
            </w:r>
          </w:p>
          <w:p w14:paraId="0772D445">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2.★CPU信息：≥2颗国产化处理器，总物理核数≥64，主频≥2.2GHz，末级缓存/L3级缓存容量≥64MB，总线程数≥</w:t>
            </w:r>
            <w:r>
              <w:rPr>
                <w:rFonts w:hint="eastAsia" w:ascii="宋体" w:hAnsi="宋体" w:cs="宋体"/>
                <w:color w:val="auto"/>
                <w:highlight w:val="none"/>
                <w:lang w:val="en-US" w:eastAsia="zh-CN"/>
              </w:rPr>
              <w:t>128</w:t>
            </w:r>
            <w:r>
              <w:rPr>
                <w:rFonts w:hint="eastAsia" w:ascii="宋体" w:hAnsi="宋体" w:eastAsia="宋体" w:cs="宋体"/>
                <w:color w:val="auto"/>
                <w:highlight w:val="none"/>
              </w:rPr>
              <w:t>，</w:t>
            </w:r>
            <w:r>
              <w:rPr>
                <w:rFonts w:hint="eastAsia" w:ascii="宋体" w:hAnsi="宋体" w:cs="宋体"/>
                <w:color w:val="auto"/>
                <w:highlight w:val="none"/>
                <w:lang w:val="en-US" w:eastAsia="zh-CN"/>
              </w:rPr>
              <w:t>单CPU</w:t>
            </w:r>
            <w:r>
              <w:rPr>
                <w:rFonts w:hint="eastAsia" w:ascii="宋体" w:hAnsi="宋体" w:eastAsia="宋体" w:cs="宋体"/>
                <w:color w:val="auto"/>
                <w:highlight w:val="none"/>
              </w:rPr>
              <w:t>热设计功耗为≤</w:t>
            </w:r>
            <w:r>
              <w:rPr>
                <w:rFonts w:hint="eastAsia" w:ascii="宋体" w:hAnsi="宋体" w:cs="宋体"/>
                <w:color w:val="auto"/>
                <w:highlight w:val="none"/>
                <w:lang w:val="en-US" w:eastAsia="zh-CN"/>
              </w:rPr>
              <w:t>22</w:t>
            </w:r>
            <w:r>
              <w:rPr>
                <w:rFonts w:hint="eastAsia" w:ascii="宋体" w:hAnsi="宋体" w:eastAsia="宋体" w:cs="宋体"/>
                <w:color w:val="auto"/>
                <w:highlight w:val="none"/>
              </w:rPr>
              <w:t>0W，支持内存的最高速率≥2933MHz，内存通道数≥8。</w:t>
            </w:r>
          </w:p>
          <w:p w14:paraId="0FD86B19">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3.★主板支持的CPU和内存情况：主板应支持国产化CPU，支持内存数量≥24条。</w:t>
            </w:r>
          </w:p>
          <w:p w14:paraId="69481A8C">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4.★主板内存槽数量：非板载内存的可扩展插槽数量应不少于24个。</w:t>
            </w:r>
          </w:p>
          <w:p w14:paraId="32F43F1E">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5.★主板存储接口：至少支持SATA、SAS、M.2、U.2等存储接口中的1种。</w:t>
            </w:r>
          </w:p>
          <w:p w14:paraId="263CBBF7">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6.★PCIe插槽接口：符合PCIe3.0或以上的高速串行计算机扩展总线标准，PCIe的接口速率与位宽需保证向下兼容。</w:t>
            </w:r>
          </w:p>
          <w:p w14:paraId="4218AD8A">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7.★主板PCIe插槽数量及规格：PCIe 插槽或接口应不少于5个。</w:t>
            </w:r>
          </w:p>
          <w:p w14:paraId="5FD6424B">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8.★内存规格：内存数量≥12，内存规格≥DDR4；实配内存总容量≥768GB。</w:t>
            </w:r>
          </w:p>
          <w:p w14:paraId="225AF680">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9.★存储规格：支持2.5/3.5英寸硬盘数量≥14块；实配≥2块480G SATA SSD硬盘，≥2块3.84TB NVMe SSD硬盘，块存储池：≥7块12TB 7.2K SATA HDD硬盘，对象存储池：≥3块12TB 7.2K SATA HDD硬盘。</w:t>
            </w:r>
          </w:p>
          <w:p w14:paraId="1C4937FB">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10.RAID卡规格：RAID卡支持的SAS接口数≥8，缓存≥2G。</w:t>
            </w:r>
          </w:p>
          <w:p w14:paraId="56A775A9">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11.★网络规格：配备≥4个1GE电口，≥4个10GE光口（含SFP+光模块）。</w:t>
            </w:r>
          </w:p>
          <w:p w14:paraId="2531781C">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12.★外部接口规格：≥2个VGA显示接口，≥4个USB接口。</w:t>
            </w:r>
          </w:p>
          <w:p w14:paraId="3E7CD71A">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13.★电源规格：电源模块数量≥2个，电源模块功率应有一定冗余，满足处理器满载时的需求。</w:t>
            </w:r>
          </w:p>
          <w:p w14:paraId="7FDAE6C6">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14.★服务周期：a) 产品免费服务周期（含换件和维修）应不小于3 年；b) 设备停产后继续提供质量保障服务（含备品备件），服务终止时间与最后一批设备交付时间间隔不低于6 年；c) 产品停止服务时间应提前1 年告知客户；d) 产品发布日期需在随机文件中明确。</w:t>
            </w:r>
          </w:p>
          <w:p w14:paraId="4FD03553">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15.★配套超融合管理软件授权-2CPU，计算虚拟化软件授权-2CPU，分布式存储软件-2CPU，提供3年软件升级和技术支持服务。</w:t>
            </w:r>
          </w:p>
          <w:p w14:paraId="3E521EAF">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16.超融合管理软件应实现全量资源统一管理、统一运维、统一监控，依托一体化管控模式提升运维效率。</w:t>
            </w:r>
          </w:p>
          <w:p w14:paraId="322CC508">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17.超融合管理软件应支持主机角色灵活划分，可以指定主机角色为存储型、计算型、超融合型，同一个集群内三种类型主机可以任意组合，满足用户各种应用场景。</w:t>
            </w:r>
          </w:p>
          <w:p w14:paraId="15CFF608">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18.支持一键还原虚拟机到指定还原点状态，降低人为误操作带来的损失。</w:t>
            </w:r>
          </w:p>
          <w:p w14:paraId="6B4BB6E3">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19.支持对正在运行的集群进行一键安全下电操作，执行一键安全下电后，管理平台中的所有虚拟机将安全关闭，主机进入维护模式，最后关闭所有主机，缩减维护步骤，减轻维护压力。</w:t>
            </w:r>
          </w:p>
          <w:p w14:paraId="09669BA8">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20.提供虚拟机启动、暂停、恢复、重启、关闭、迁移、删除、快照等功能的批量操作。</w:t>
            </w:r>
          </w:p>
          <w:p w14:paraId="5BB5CE36">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21.提供虚拟机回收站功能，统一管理被删除的虚拟机，防止因虚拟机误删除导致数据丢失。</w:t>
            </w:r>
          </w:p>
          <w:p w14:paraId="208D86B4">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22.支持集群动态资源调度功能，可基于主机的CPU利用率、内存利用率、磁盘I/O、存储利用率、磁盘请求、网络流量等资源对虚拟机进行动态资源调度，实现自动化的存储资源分配和负载均衡功能，确保云环境的服务水平。</w:t>
            </w:r>
          </w:p>
          <w:p w14:paraId="52AA0478">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23.支持批量修改虚拟机的配置参数，包括：I/O优先级、启动优先级、是否自动迁移、CPU调度优先级、CPU个数、内存大小、自动启动等。</w:t>
            </w:r>
          </w:p>
          <w:p w14:paraId="1CC77C6C">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24.基于统一存储架构，同一节点同时支持3种存储功能，包括分布式块、对象、文件存储服务。</w:t>
            </w:r>
          </w:p>
          <w:p w14:paraId="0C9F6A3B">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25.块存储支持快照功能，可支持创建可写快照。</w:t>
            </w:r>
          </w:p>
          <w:p w14:paraId="6B22DA19">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26.对象存储支持对命名空间（桶）的各类对象存储相关功能与配置。</w:t>
            </w:r>
          </w:p>
          <w:p w14:paraId="6C324FAB">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27.文件存储支持协议应包括：FTP、CIFS、NFS等。</w:t>
            </w:r>
          </w:p>
          <w:p w14:paraId="6435875D">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28.支持2~6副本数，且可任意选择。</w:t>
            </w:r>
          </w:p>
          <w:p w14:paraId="21C004EA">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29.磁盘或者节点故障之后无需人工干预，数据在集群内硬盘的剩余空间中自动重构，重构效率可以做到≤15min/TB。</w:t>
            </w:r>
          </w:p>
          <w:p w14:paraId="6EA7B0C9">
            <w:pPr>
              <w:keepNext w:val="0"/>
              <w:keepLines w:val="0"/>
              <w:pageBreakBefore w:val="0"/>
              <w:widowControl/>
              <w:numPr>
                <w:ilvl w:val="0"/>
                <w:numId w:val="0"/>
              </w:numPr>
              <w:kinsoku/>
              <w:wordWrap/>
              <w:overflowPunct/>
              <w:topLinePunct w:val="0"/>
              <w:autoSpaceDE/>
              <w:autoSpaceDN/>
              <w:bidi w:val="0"/>
              <w:adjustRightInd/>
              <w:snapToGrid/>
              <w:spacing w:before="120" w:beforeLines="50" w:after="120" w:afterLines="50"/>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highlight w:val="none"/>
              </w:rPr>
              <w:t>30.支持存储在线扩容，当存储 LUN 空间不足时，在存储设备上对该 LUN 在线扩容，同时在管理平台上对共享文件系统进行扩容，解决业务扩张后导致的存储空间不足问题。</w:t>
            </w:r>
          </w:p>
        </w:tc>
        <w:tc>
          <w:tcPr>
            <w:tcW w:w="838" w:type="dxa"/>
            <w:vAlign w:val="center"/>
          </w:tcPr>
          <w:p w14:paraId="16664C8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4套</w:t>
            </w:r>
          </w:p>
        </w:tc>
      </w:tr>
      <w:tr w14:paraId="72CF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9" w:type="dxa"/>
            <w:vAlign w:val="center"/>
          </w:tcPr>
          <w:p w14:paraId="65B4098F">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389" w:type="dxa"/>
            <w:vAlign w:val="center"/>
          </w:tcPr>
          <w:p w14:paraId="5ED82C6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数据中心万兆交换机</w:t>
            </w:r>
          </w:p>
        </w:tc>
        <w:tc>
          <w:tcPr>
            <w:tcW w:w="5066" w:type="dxa"/>
            <w:vAlign w:val="center"/>
          </w:tcPr>
          <w:p w14:paraId="5F8828E1">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1.性能：交换容量≥2.5Tbps，转发率≥340Mpps。</w:t>
            </w:r>
          </w:p>
          <w:p w14:paraId="297677BD">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2.表项：MAC地址表≥32K，路由表容量≥16K，ARP≥16K。</w:t>
            </w:r>
          </w:p>
          <w:p w14:paraId="65C9532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3.接口：≥22万兆光，≥8个千兆电，≥1USB。</w:t>
            </w:r>
          </w:p>
          <w:p w14:paraId="5FDFB1F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4.支持横向虚拟化，支持最大≥9台设备虚拟化。</w:t>
            </w:r>
          </w:p>
          <w:p w14:paraId="02AB7AE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5.支持OPENFLOW 1.3标准支持普通模式和Openflow 模式切换。</w:t>
            </w:r>
          </w:p>
          <w:p w14:paraId="432A30C4">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6.支持VXLAN二层互通功能、VXLAN 集中式网关三层互通功能、EVPN分布式网关二三层互通功能。</w:t>
            </w:r>
          </w:p>
          <w:p w14:paraId="47CEB32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7.支持IPv4静态路由、RIP V1/V2、OSPF、BGP、ISIS；支持IPv6静态路由、RIPng、OSPFv3、BGP4+，支持IPv4和IPv6环境下的策略路由</w:t>
            </w:r>
          </w:p>
          <w:p w14:paraId="5F161E4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8.支持VRRPv2/v3（虚拟路由冗余协议)；支持RRPP（快速环网保护协议），环网故障恢复时间不超过200ms。</w:t>
            </w:r>
          </w:p>
        </w:tc>
        <w:tc>
          <w:tcPr>
            <w:tcW w:w="838" w:type="dxa"/>
            <w:vAlign w:val="center"/>
          </w:tcPr>
          <w:p w14:paraId="5D6E4CB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2台</w:t>
            </w:r>
          </w:p>
        </w:tc>
      </w:tr>
      <w:tr w14:paraId="23FB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vAlign w:val="center"/>
          </w:tcPr>
          <w:p w14:paraId="1DD00F46">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389" w:type="dxa"/>
            <w:vAlign w:val="center"/>
          </w:tcPr>
          <w:p w14:paraId="5181B4FF">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存储万兆交换机</w:t>
            </w:r>
          </w:p>
        </w:tc>
        <w:tc>
          <w:tcPr>
            <w:tcW w:w="5066" w:type="dxa"/>
            <w:vAlign w:val="center"/>
          </w:tcPr>
          <w:p w14:paraId="62BADAE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1.性能：交换容量≥2.5Tbps，转发率≥340Mpps。</w:t>
            </w:r>
          </w:p>
          <w:p w14:paraId="4D88F0F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2.表项：MAC地址表≥32K，路由表容量≥16K，ARP≥16K。</w:t>
            </w:r>
          </w:p>
          <w:p w14:paraId="3BC371D4">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3.接口：≥22万兆光，≥8个千兆电，≥1USB。</w:t>
            </w:r>
          </w:p>
          <w:p w14:paraId="1013C8D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4.支持横向虚拟化，支持最大≥9台设备虚拟化。</w:t>
            </w:r>
          </w:p>
          <w:p w14:paraId="0348D1C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5.支持OPENFLOW 1.3标准支持普通模式和Openflow 模式切换。</w:t>
            </w:r>
          </w:p>
          <w:p w14:paraId="389E828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6.支持VXLAN二层互通功能、VXLAN 集中式网关三层互通功能、EVPN分布式网关二三层互通功能。</w:t>
            </w:r>
          </w:p>
          <w:p w14:paraId="128E42C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7.支持IPv4静态路由、RIP V1/V2、OSPF、BGP、ISIS；支持IPv6静态路由、RIPng、OSPFv3、BGP4+，支持IPv4和IPv6环境下的策略路由</w:t>
            </w:r>
          </w:p>
          <w:p w14:paraId="6438E96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8.支持VRRPv2/v3（虚拟路由冗余协议)；支持RRPP（快速环网保护协议），环网故障恢复时间不超过200ms。</w:t>
            </w:r>
          </w:p>
        </w:tc>
        <w:tc>
          <w:tcPr>
            <w:tcW w:w="838" w:type="dxa"/>
            <w:vAlign w:val="center"/>
          </w:tcPr>
          <w:p w14:paraId="291E766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rPr>
              <w:t>2台</w:t>
            </w:r>
          </w:p>
        </w:tc>
      </w:tr>
      <w:tr w14:paraId="30F3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9" w:type="dxa"/>
            <w:vAlign w:val="center"/>
          </w:tcPr>
          <w:p w14:paraId="4E3B7526">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p>
        </w:tc>
        <w:tc>
          <w:tcPr>
            <w:tcW w:w="1389" w:type="dxa"/>
            <w:vAlign w:val="center"/>
          </w:tcPr>
          <w:p w14:paraId="597CFEC4">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万兆多模光模块</w:t>
            </w:r>
          </w:p>
        </w:tc>
        <w:tc>
          <w:tcPr>
            <w:tcW w:w="5066" w:type="dxa"/>
            <w:vAlign w:val="center"/>
          </w:tcPr>
          <w:p w14:paraId="1B11E54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万兆多模光模块，传输波长850nm，最大传输距离300m，LC接口</w:t>
            </w:r>
          </w:p>
        </w:tc>
        <w:tc>
          <w:tcPr>
            <w:tcW w:w="838" w:type="dxa"/>
            <w:vAlign w:val="center"/>
          </w:tcPr>
          <w:p w14:paraId="05A14B2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28个</w:t>
            </w:r>
          </w:p>
        </w:tc>
      </w:tr>
      <w:bookmarkEnd w:id="1"/>
    </w:tbl>
    <w:p w14:paraId="033BFF20">
      <w:pPr>
        <w:pStyle w:val="2"/>
        <w:bidi w:val="0"/>
        <w:ind w:left="432" w:leftChars="0" w:hanging="432" w:firstLineChars="0"/>
      </w:pPr>
      <w:bookmarkStart w:id="35" w:name="_Toc16471"/>
      <w:bookmarkStart w:id="36" w:name="_Toc3685"/>
      <w:r>
        <w:rPr>
          <w:rFonts w:hint="eastAsia"/>
          <w:lang w:val="en-US" w:eastAsia="zh-CN"/>
        </w:rPr>
        <w:t>前置服务器资源设计</w:t>
      </w:r>
      <w:bookmarkEnd w:id="35"/>
    </w:p>
    <w:p w14:paraId="3674DB8B">
      <w:pPr>
        <w:pStyle w:val="3"/>
        <w:bidi w:val="0"/>
        <w:ind w:left="575" w:leftChars="0" w:hanging="575" w:firstLineChars="0"/>
        <w:rPr>
          <w:rFonts w:hint="eastAsia"/>
        </w:rPr>
      </w:pPr>
      <w:r>
        <w:rPr>
          <w:rFonts w:hint="eastAsia"/>
          <w:lang w:val="en-US" w:eastAsia="zh-CN"/>
        </w:rPr>
        <w:t>设计目标</w:t>
      </w:r>
    </w:p>
    <w:p w14:paraId="01656E76">
      <w:pPr>
        <w:ind w:firstLine="480" w:firstLineChars="200"/>
        <w:rPr>
          <w:rFonts w:hint="eastAsia" w:ascii="宋体" w:hAnsi="宋体" w:eastAsia="宋体" w:cs="Times New Roman"/>
          <w:i w:val="0"/>
          <w:iCs w:val="0"/>
          <w:caps w:val="0"/>
          <w:color w:val="auto"/>
          <w:spacing w:val="0"/>
          <w:sz w:val="24"/>
          <w:szCs w:val="24"/>
          <w:highlight w:val="none"/>
          <w:shd w:val="clear"/>
        </w:rPr>
      </w:pPr>
      <w:r>
        <w:rPr>
          <w:rFonts w:hint="eastAsia" w:ascii="宋体" w:hAnsi="宋体" w:eastAsia="宋体" w:cs="Times New Roman"/>
          <w:i w:val="0"/>
          <w:iCs w:val="0"/>
          <w:caps w:val="0"/>
          <w:color w:val="auto"/>
          <w:spacing w:val="0"/>
          <w:sz w:val="24"/>
          <w:szCs w:val="24"/>
          <w:highlight w:val="none"/>
          <w:shd w:val="clear"/>
        </w:rPr>
        <w:t>前置服务器是医院信息系统与外部系统之间进行数据交换、协议转换和安全隔离的关键节点。本项目建设过程中，需要部署多台前置服务器，分别承载患者智能服务、移动医保支付、PACS影像传输及各类外部系统接口对接等业务功能。前置服务器资源设计的目标是：</w:t>
      </w:r>
    </w:p>
    <w:p w14:paraId="7096C0A4">
      <w:pPr>
        <w:ind w:firstLine="480" w:firstLineChars="200"/>
        <w:rPr>
          <w:rFonts w:hint="eastAsia" w:ascii="宋体" w:hAnsi="宋体" w:eastAsia="宋体" w:cs="Times New Roman"/>
          <w:i w:val="0"/>
          <w:iCs w:val="0"/>
          <w:caps w:val="0"/>
          <w:color w:val="auto"/>
          <w:spacing w:val="0"/>
          <w:sz w:val="24"/>
          <w:szCs w:val="24"/>
          <w:highlight w:val="none"/>
          <w:shd w:val="clear"/>
        </w:rPr>
      </w:pPr>
      <w:r>
        <w:rPr>
          <w:rFonts w:hint="eastAsia" w:ascii="宋体" w:hAnsi="宋体" w:eastAsia="宋体" w:cs="Times New Roman"/>
          <w:i w:val="0"/>
          <w:iCs w:val="0"/>
          <w:caps w:val="0"/>
          <w:color w:val="auto"/>
          <w:spacing w:val="0"/>
          <w:sz w:val="24"/>
          <w:szCs w:val="24"/>
          <w:highlight w:val="none"/>
          <w:shd w:val="clear"/>
        </w:rPr>
        <w:t>安全隔离：前置服务器部署于医院网络安全隔离区（DMZ）或外网服务器区，作为内外网数据交换的安全边界，确保核心业务系统不受外部直接访问。</w:t>
      </w:r>
    </w:p>
    <w:p w14:paraId="64B22735">
      <w:pPr>
        <w:ind w:firstLine="480" w:firstLineChars="200"/>
        <w:rPr>
          <w:rFonts w:hint="eastAsia" w:ascii="宋体" w:hAnsi="宋体" w:eastAsia="宋体" w:cs="Times New Roman"/>
          <w:i w:val="0"/>
          <w:iCs w:val="0"/>
          <w:caps w:val="0"/>
          <w:color w:val="auto"/>
          <w:spacing w:val="0"/>
          <w:sz w:val="24"/>
          <w:szCs w:val="24"/>
          <w:highlight w:val="none"/>
          <w:shd w:val="clear"/>
        </w:rPr>
      </w:pPr>
      <w:r>
        <w:rPr>
          <w:rFonts w:hint="eastAsia" w:ascii="宋体" w:hAnsi="宋体" w:eastAsia="宋体" w:cs="Times New Roman"/>
          <w:i w:val="0"/>
          <w:iCs w:val="0"/>
          <w:caps w:val="0"/>
          <w:color w:val="auto"/>
          <w:spacing w:val="0"/>
          <w:sz w:val="24"/>
          <w:szCs w:val="24"/>
          <w:highlight w:val="none"/>
          <w:shd w:val="clear"/>
        </w:rPr>
        <w:t>协议转换：实现医院内部系统与外部平台（医保、卫健、银联等）之间的通信协议转换和数据格式标准化。</w:t>
      </w:r>
    </w:p>
    <w:p w14:paraId="410BB014">
      <w:pPr>
        <w:ind w:firstLine="480" w:firstLineChars="200"/>
        <w:rPr>
          <w:rFonts w:hint="eastAsia" w:ascii="宋体" w:hAnsi="宋体" w:eastAsia="宋体" w:cs="Times New Roman"/>
          <w:i w:val="0"/>
          <w:iCs w:val="0"/>
          <w:caps w:val="0"/>
          <w:color w:val="auto"/>
          <w:spacing w:val="0"/>
          <w:sz w:val="24"/>
          <w:szCs w:val="24"/>
          <w:highlight w:val="none"/>
          <w:shd w:val="clear"/>
        </w:rPr>
      </w:pPr>
      <w:r>
        <w:rPr>
          <w:rFonts w:hint="eastAsia" w:ascii="宋体" w:hAnsi="宋体" w:eastAsia="宋体" w:cs="Times New Roman"/>
          <w:i w:val="0"/>
          <w:iCs w:val="0"/>
          <w:caps w:val="0"/>
          <w:color w:val="auto"/>
          <w:spacing w:val="0"/>
          <w:sz w:val="24"/>
          <w:szCs w:val="24"/>
          <w:highlight w:val="none"/>
          <w:shd w:val="clear"/>
        </w:rPr>
        <w:t>业务卸载：将外部访问请求在前置层完成初步处理，减轻核心业务系统的负载压力。</w:t>
      </w:r>
    </w:p>
    <w:p w14:paraId="6DDF0F46">
      <w:pPr>
        <w:ind w:firstLine="480" w:firstLineChars="200"/>
        <w:rPr>
          <w:rFonts w:hint="eastAsia" w:ascii="宋体" w:hAnsi="宋体" w:eastAsia="宋体" w:cs="Times New Roman"/>
          <w:i w:val="0"/>
          <w:iCs w:val="0"/>
          <w:caps w:val="0"/>
          <w:color w:val="auto"/>
          <w:spacing w:val="0"/>
          <w:sz w:val="24"/>
          <w:szCs w:val="24"/>
          <w:highlight w:val="none"/>
          <w:shd w:val="clear"/>
        </w:rPr>
      </w:pPr>
      <w:r>
        <w:rPr>
          <w:rFonts w:hint="eastAsia" w:ascii="宋体" w:hAnsi="宋体" w:eastAsia="宋体" w:cs="Times New Roman"/>
          <w:i w:val="0"/>
          <w:iCs w:val="0"/>
          <w:caps w:val="0"/>
          <w:color w:val="auto"/>
          <w:spacing w:val="0"/>
          <w:sz w:val="24"/>
          <w:szCs w:val="24"/>
          <w:highlight w:val="none"/>
          <w:shd w:val="clear"/>
        </w:rPr>
        <w:t>信创合规：服务器硬件及操作系统优先采用国产化产品，满足信创适配要求。</w:t>
      </w:r>
    </w:p>
    <w:p w14:paraId="015F3F28">
      <w:pPr>
        <w:pStyle w:val="3"/>
        <w:bidi w:val="0"/>
        <w:ind w:left="575" w:leftChars="0" w:hanging="575" w:firstLineChars="0"/>
        <w:rPr>
          <w:rFonts w:hint="eastAsia"/>
        </w:rPr>
      </w:pPr>
      <w:r>
        <w:rPr>
          <w:rFonts w:hint="eastAsia"/>
          <w:lang w:val="en-US" w:eastAsia="zh-CN"/>
        </w:rPr>
        <w:t>资源需求</w:t>
      </w:r>
    </w:p>
    <w:p w14:paraId="376C560E">
      <w:pPr>
        <w:ind w:firstLine="480" w:firstLineChars="200"/>
        <w:rPr>
          <w:rFonts w:hint="eastAsia" w:ascii="宋体" w:hAnsi="宋体"/>
          <w:color w:val="auto"/>
          <w:highlight w:val="none"/>
        </w:rPr>
      </w:pPr>
      <w:r>
        <w:rPr>
          <w:rFonts w:hint="eastAsia" w:ascii="宋体" w:hAnsi="宋体"/>
          <w:color w:val="auto"/>
          <w:highlight w:val="none"/>
          <w:lang w:val="en-US" w:eastAsia="zh-CN"/>
        </w:rPr>
        <w:t>基于</w:t>
      </w:r>
      <w:r>
        <w:rPr>
          <w:rFonts w:hint="eastAsia" w:ascii="宋体" w:hAnsi="宋体"/>
          <w:color w:val="auto"/>
          <w:highlight w:val="none"/>
        </w:rPr>
        <w:t>本项目业务需求，</w:t>
      </w:r>
      <w:r>
        <w:rPr>
          <w:rFonts w:hint="eastAsia" w:ascii="宋体" w:hAnsi="宋体"/>
          <w:color w:val="auto"/>
          <w:highlight w:val="none"/>
          <w:lang w:val="en-US" w:eastAsia="zh-CN"/>
        </w:rPr>
        <w:t>规划</w:t>
      </w:r>
      <w:r>
        <w:rPr>
          <w:rFonts w:hint="eastAsia" w:ascii="宋体" w:hAnsi="宋体"/>
          <w:color w:val="auto"/>
          <w:highlight w:val="none"/>
        </w:rPr>
        <w:t>部署</w:t>
      </w:r>
      <w:r>
        <w:rPr>
          <w:rFonts w:hint="eastAsia" w:ascii="宋体" w:hAnsi="宋体"/>
          <w:color w:val="auto"/>
          <w:highlight w:val="none"/>
          <w:lang w:val="en-US" w:eastAsia="zh-CN"/>
        </w:rPr>
        <w:t>6</w:t>
      </w:r>
      <w:r>
        <w:rPr>
          <w:rFonts w:hint="eastAsia" w:ascii="宋体" w:hAnsi="宋体"/>
          <w:color w:val="auto"/>
          <w:highlight w:val="none"/>
        </w:rPr>
        <w:t>台前置服务器，具体配置如下：</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2818"/>
        <w:gridCol w:w="1002"/>
        <w:gridCol w:w="1167"/>
        <w:gridCol w:w="1090"/>
        <w:gridCol w:w="1050"/>
      </w:tblGrid>
      <w:tr w14:paraId="21F9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885" w:type="dxa"/>
            <w:vAlign w:val="center"/>
          </w:tcPr>
          <w:p w14:paraId="49AA18B1">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818" w:type="dxa"/>
            <w:vAlign w:val="center"/>
          </w:tcPr>
          <w:p w14:paraId="4FD68E85">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1002" w:type="dxa"/>
            <w:vAlign w:val="center"/>
          </w:tcPr>
          <w:p w14:paraId="09916304">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vCPU</w:t>
            </w:r>
          </w:p>
        </w:tc>
        <w:tc>
          <w:tcPr>
            <w:tcW w:w="1167" w:type="dxa"/>
            <w:vAlign w:val="center"/>
          </w:tcPr>
          <w:p w14:paraId="381D4B58">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内存</w:t>
            </w:r>
          </w:p>
        </w:tc>
        <w:tc>
          <w:tcPr>
            <w:tcW w:w="1090" w:type="dxa"/>
            <w:shd w:val="clear" w:color="auto" w:fill="auto"/>
            <w:vAlign w:val="center"/>
          </w:tcPr>
          <w:p w14:paraId="51B79BB8">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bidi="ar-SA"/>
              </w:rPr>
            </w:pPr>
            <w:r>
              <w:rPr>
                <w:rFonts w:hint="eastAsia" w:asciiTheme="minorEastAsia" w:hAnsiTheme="minorEastAsia" w:eastAsiaTheme="minorEastAsia" w:cstheme="minorEastAsia"/>
                <w:b/>
                <w:color w:val="auto"/>
                <w:sz w:val="24"/>
                <w:szCs w:val="24"/>
                <w:highlight w:val="none"/>
                <w:lang w:val="en-US" w:eastAsia="zh-CN" w:bidi="ar-SA"/>
              </w:rPr>
              <w:t>硬盘</w:t>
            </w:r>
          </w:p>
        </w:tc>
        <w:tc>
          <w:tcPr>
            <w:tcW w:w="1050" w:type="dxa"/>
            <w:vAlign w:val="center"/>
          </w:tcPr>
          <w:p w14:paraId="33E43F7F">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数量</w:t>
            </w:r>
          </w:p>
        </w:tc>
      </w:tr>
      <w:tr w14:paraId="33F4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85" w:type="dxa"/>
            <w:vAlign w:val="center"/>
          </w:tcPr>
          <w:p w14:paraId="618CD479">
            <w:pPr>
              <w:widowControl w:val="0"/>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818" w:type="dxa"/>
            <w:vAlign w:val="center"/>
          </w:tcPr>
          <w:p w14:paraId="0DE79C65">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rPr>
              <w:t>患者智能服务</w:t>
            </w:r>
            <w:r>
              <w:rPr>
                <w:rFonts w:hint="eastAsia" w:asciiTheme="minorEastAsia" w:hAnsiTheme="minorEastAsia" w:eastAsiaTheme="minorEastAsia" w:cstheme="minorEastAsia"/>
                <w:color w:val="auto"/>
                <w:sz w:val="24"/>
                <w:szCs w:val="24"/>
                <w:highlight w:val="none"/>
                <w:lang w:val="en-US" w:eastAsia="zh-CN"/>
              </w:rPr>
              <w:t>前置机</w:t>
            </w:r>
          </w:p>
        </w:tc>
        <w:tc>
          <w:tcPr>
            <w:tcW w:w="1002" w:type="dxa"/>
            <w:vAlign w:val="center"/>
          </w:tcPr>
          <w:p w14:paraId="7B10048D">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4核</w:t>
            </w:r>
          </w:p>
        </w:tc>
        <w:tc>
          <w:tcPr>
            <w:tcW w:w="1167" w:type="dxa"/>
            <w:vAlign w:val="center"/>
          </w:tcPr>
          <w:p w14:paraId="03412654">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4G</w:t>
            </w:r>
          </w:p>
        </w:tc>
        <w:tc>
          <w:tcPr>
            <w:tcW w:w="1090" w:type="dxa"/>
            <w:shd w:val="clear" w:color="auto" w:fill="auto"/>
            <w:vAlign w:val="center"/>
          </w:tcPr>
          <w:p w14:paraId="75B840B6">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200G</w:t>
            </w:r>
          </w:p>
        </w:tc>
        <w:tc>
          <w:tcPr>
            <w:tcW w:w="1050" w:type="dxa"/>
            <w:vAlign w:val="center"/>
          </w:tcPr>
          <w:p w14:paraId="1CDC22D9">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r w14:paraId="6402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85" w:type="dxa"/>
            <w:vAlign w:val="center"/>
          </w:tcPr>
          <w:p w14:paraId="429C997A">
            <w:pPr>
              <w:widowControl w:val="0"/>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2818" w:type="dxa"/>
            <w:vAlign w:val="center"/>
          </w:tcPr>
          <w:p w14:paraId="18DDDFA2">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移动医保支付系统</w:t>
            </w:r>
            <w:r>
              <w:rPr>
                <w:rFonts w:hint="eastAsia" w:asciiTheme="minorEastAsia" w:hAnsiTheme="minorEastAsia" w:eastAsiaTheme="minorEastAsia" w:cstheme="minorEastAsia"/>
                <w:color w:val="auto"/>
                <w:sz w:val="24"/>
                <w:szCs w:val="24"/>
                <w:highlight w:val="none"/>
                <w:lang w:val="en-US" w:eastAsia="zh-CN"/>
              </w:rPr>
              <w:t>前置机</w:t>
            </w:r>
          </w:p>
        </w:tc>
        <w:tc>
          <w:tcPr>
            <w:tcW w:w="1002" w:type="dxa"/>
            <w:shd w:val="clear" w:color="auto" w:fill="auto"/>
            <w:vAlign w:val="center"/>
          </w:tcPr>
          <w:p w14:paraId="46845693">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4核</w:t>
            </w:r>
          </w:p>
        </w:tc>
        <w:tc>
          <w:tcPr>
            <w:tcW w:w="1167" w:type="dxa"/>
            <w:shd w:val="clear" w:color="auto" w:fill="auto"/>
            <w:vAlign w:val="center"/>
          </w:tcPr>
          <w:p w14:paraId="2F7F59E4">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4G</w:t>
            </w:r>
          </w:p>
        </w:tc>
        <w:tc>
          <w:tcPr>
            <w:tcW w:w="1090" w:type="dxa"/>
            <w:shd w:val="clear" w:color="auto" w:fill="auto"/>
            <w:vAlign w:val="center"/>
          </w:tcPr>
          <w:p w14:paraId="64093F10">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200G</w:t>
            </w:r>
          </w:p>
        </w:tc>
        <w:tc>
          <w:tcPr>
            <w:tcW w:w="1050" w:type="dxa"/>
            <w:shd w:val="clear" w:color="auto" w:fill="auto"/>
            <w:vAlign w:val="center"/>
          </w:tcPr>
          <w:p w14:paraId="7578DEBE">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w:t>
            </w:r>
          </w:p>
        </w:tc>
      </w:tr>
      <w:tr w14:paraId="42CA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85" w:type="dxa"/>
            <w:vAlign w:val="center"/>
          </w:tcPr>
          <w:p w14:paraId="1E5E2059">
            <w:pPr>
              <w:widowControl w:val="0"/>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2818" w:type="dxa"/>
            <w:vAlign w:val="center"/>
          </w:tcPr>
          <w:p w14:paraId="69E10BE3">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PACS系统前置机</w:t>
            </w:r>
          </w:p>
        </w:tc>
        <w:tc>
          <w:tcPr>
            <w:tcW w:w="1002" w:type="dxa"/>
            <w:vAlign w:val="center"/>
          </w:tcPr>
          <w:p w14:paraId="1E43A59F">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16核</w:t>
            </w:r>
          </w:p>
        </w:tc>
        <w:tc>
          <w:tcPr>
            <w:tcW w:w="1167" w:type="dxa"/>
            <w:vAlign w:val="center"/>
          </w:tcPr>
          <w:p w14:paraId="4BA8C723">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32G</w:t>
            </w:r>
          </w:p>
        </w:tc>
        <w:tc>
          <w:tcPr>
            <w:tcW w:w="1090" w:type="dxa"/>
            <w:shd w:val="clear" w:color="auto" w:fill="auto"/>
            <w:vAlign w:val="center"/>
          </w:tcPr>
          <w:p w14:paraId="3E5727A4">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10TB</w:t>
            </w:r>
          </w:p>
        </w:tc>
        <w:tc>
          <w:tcPr>
            <w:tcW w:w="1050" w:type="dxa"/>
            <w:vAlign w:val="center"/>
          </w:tcPr>
          <w:p w14:paraId="251C5944">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r w14:paraId="0767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85" w:type="dxa"/>
            <w:vAlign w:val="center"/>
          </w:tcPr>
          <w:p w14:paraId="798E69E7">
            <w:pPr>
              <w:widowControl w:val="0"/>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2818" w:type="dxa"/>
            <w:shd w:val="clear" w:color="auto" w:fill="auto"/>
            <w:vAlign w:val="center"/>
          </w:tcPr>
          <w:p w14:paraId="1602BCF5">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其他接口前置机</w:t>
            </w:r>
          </w:p>
        </w:tc>
        <w:tc>
          <w:tcPr>
            <w:tcW w:w="1002" w:type="dxa"/>
            <w:shd w:val="clear" w:color="auto" w:fill="auto"/>
            <w:vAlign w:val="center"/>
          </w:tcPr>
          <w:p w14:paraId="01F0226C">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8核</w:t>
            </w:r>
          </w:p>
        </w:tc>
        <w:tc>
          <w:tcPr>
            <w:tcW w:w="1167" w:type="dxa"/>
            <w:shd w:val="clear" w:color="auto" w:fill="auto"/>
            <w:vAlign w:val="center"/>
          </w:tcPr>
          <w:p w14:paraId="35FF9F53">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16G</w:t>
            </w:r>
          </w:p>
        </w:tc>
        <w:tc>
          <w:tcPr>
            <w:tcW w:w="1090" w:type="dxa"/>
            <w:shd w:val="clear" w:color="auto" w:fill="auto"/>
            <w:vAlign w:val="center"/>
          </w:tcPr>
          <w:p w14:paraId="73DD1EC7">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500G</w:t>
            </w:r>
          </w:p>
        </w:tc>
        <w:tc>
          <w:tcPr>
            <w:tcW w:w="1050" w:type="dxa"/>
            <w:shd w:val="clear" w:color="auto" w:fill="auto"/>
            <w:vAlign w:val="center"/>
          </w:tcPr>
          <w:p w14:paraId="49201727">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3</w:t>
            </w:r>
          </w:p>
        </w:tc>
      </w:tr>
    </w:tbl>
    <w:p w14:paraId="376AA4B9">
      <w:pPr>
        <w:bidi w:val="0"/>
        <w:ind w:firstLine="480" w:firstLineChars="200"/>
        <w:rPr>
          <w:rFonts w:hint="default" w:eastAsia="宋体"/>
          <w:color w:val="auto"/>
          <w:highlight w:val="none"/>
          <w:lang w:val="en-US" w:eastAsia="zh-CN"/>
        </w:rPr>
      </w:pPr>
      <w:r>
        <w:rPr>
          <w:rFonts w:hint="eastAsia"/>
          <w:color w:val="auto"/>
          <w:highlight w:val="none"/>
          <w:lang w:val="en-US" w:eastAsia="zh-CN"/>
        </w:rPr>
        <w:t>此外，根据《国家传染病智能监测预警前置软件服务器软硬件环境配置要求（试行）》规定，医院需配备1套独立的计算存储资源，用于部署国家传染病</w:t>
      </w:r>
      <w:r>
        <w:rPr>
          <w:rFonts w:hint="eastAsia" w:asciiTheme="minorEastAsia" w:hAnsiTheme="minorEastAsia" w:eastAsiaTheme="minorEastAsia" w:cstheme="minorEastAsia"/>
          <w:color w:val="auto"/>
          <w:sz w:val="24"/>
          <w:szCs w:val="24"/>
          <w:highlight w:val="none"/>
          <w:lang w:val="en-US" w:eastAsia="zh-CN"/>
        </w:rPr>
        <w:t>监测预警前置机。</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2818"/>
        <w:gridCol w:w="1002"/>
        <w:gridCol w:w="1167"/>
        <w:gridCol w:w="1090"/>
        <w:gridCol w:w="1050"/>
      </w:tblGrid>
      <w:tr w14:paraId="52C4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885" w:type="dxa"/>
            <w:vAlign w:val="center"/>
          </w:tcPr>
          <w:p w14:paraId="2DC39B56">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818" w:type="dxa"/>
            <w:vAlign w:val="center"/>
          </w:tcPr>
          <w:p w14:paraId="49F4C33E">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1002" w:type="dxa"/>
            <w:vAlign w:val="center"/>
          </w:tcPr>
          <w:p w14:paraId="5E15912D">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CPU</w:t>
            </w:r>
          </w:p>
        </w:tc>
        <w:tc>
          <w:tcPr>
            <w:tcW w:w="1167" w:type="dxa"/>
            <w:vAlign w:val="center"/>
          </w:tcPr>
          <w:p w14:paraId="679172DA">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内存</w:t>
            </w:r>
          </w:p>
        </w:tc>
        <w:tc>
          <w:tcPr>
            <w:tcW w:w="1090" w:type="dxa"/>
            <w:shd w:val="clear" w:color="auto" w:fill="auto"/>
            <w:vAlign w:val="center"/>
          </w:tcPr>
          <w:p w14:paraId="5633E164">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bidi="ar-SA"/>
              </w:rPr>
            </w:pPr>
            <w:r>
              <w:rPr>
                <w:rFonts w:hint="eastAsia" w:asciiTheme="minorEastAsia" w:hAnsiTheme="minorEastAsia" w:eastAsiaTheme="minorEastAsia" w:cstheme="minorEastAsia"/>
                <w:b/>
                <w:color w:val="auto"/>
                <w:sz w:val="24"/>
                <w:szCs w:val="24"/>
                <w:highlight w:val="none"/>
                <w:lang w:val="en-US" w:eastAsia="zh-CN" w:bidi="ar-SA"/>
              </w:rPr>
              <w:t>硬盘</w:t>
            </w:r>
          </w:p>
        </w:tc>
        <w:tc>
          <w:tcPr>
            <w:tcW w:w="1050" w:type="dxa"/>
            <w:vAlign w:val="center"/>
          </w:tcPr>
          <w:p w14:paraId="57D1302E">
            <w:pPr>
              <w:widowControl w:val="0"/>
              <w:spacing w:before="120" w:beforeLines="50" w:after="120" w:afterLines="50"/>
              <w:ind w:firstLine="0" w:firstLineChars="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数量</w:t>
            </w:r>
          </w:p>
        </w:tc>
      </w:tr>
      <w:tr w14:paraId="1CDF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85" w:type="dxa"/>
            <w:vAlign w:val="center"/>
          </w:tcPr>
          <w:p w14:paraId="3C3D64BB">
            <w:pPr>
              <w:widowControl w:val="0"/>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2818" w:type="dxa"/>
            <w:vAlign w:val="center"/>
          </w:tcPr>
          <w:p w14:paraId="02259394">
            <w:pPr>
              <w:widowControl/>
              <w:spacing w:before="120" w:beforeLines="50" w:after="120" w:afterLines="50"/>
              <w:ind w:firstLine="0" w:firstLineChars="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国家传染病监测预警前置机</w:t>
            </w:r>
          </w:p>
        </w:tc>
        <w:tc>
          <w:tcPr>
            <w:tcW w:w="1002" w:type="dxa"/>
            <w:vAlign w:val="center"/>
          </w:tcPr>
          <w:p w14:paraId="1DA7DA88">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32核</w:t>
            </w:r>
          </w:p>
        </w:tc>
        <w:tc>
          <w:tcPr>
            <w:tcW w:w="1167" w:type="dxa"/>
            <w:vAlign w:val="center"/>
          </w:tcPr>
          <w:p w14:paraId="60059DFC">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128G</w:t>
            </w:r>
          </w:p>
        </w:tc>
        <w:tc>
          <w:tcPr>
            <w:tcW w:w="1090" w:type="dxa"/>
            <w:shd w:val="clear" w:color="auto" w:fill="auto"/>
            <w:vAlign w:val="center"/>
          </w:tcPr>
          <w:p w14:paraId="53D69683">
            <w:pPr>
              <w:widowControl/>
              <w:spacing w:before="120" w:beforeLines="50" w:after="120" w:afterLines="50"/>
              <w:ind w:firstLine="0" w:firstLineChars="0"/>
              <w:jc w:val="center"/>
              <w:rPr>
                <w:rFonts w:hint="default"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1TB SSD</w:t>
            </w:r>
          </w:p>
        </w:tc>
        <w:tc>
          <w:tcPr>
            <w:tcW w:w="1050" w:type="dxa"/>
            <w:vAlign w:val="center"/>
          </w:tcPr>
          <w:p w14:paraId="794E747D">
            <w:pPr>
              <w:widowControl/>
              <w:spacing w:before="120" w:beforeLines="50" w:after="120" w:afterLines="50"/>
              <w:ind w:firstLine="0" w:firstLine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r>
    </w:tbl>
    <w:p w14:paraId="4B5D3DAB">
      <w:pPr>
        <w:pStyle w:val="3"/>
        <w:bidi w:val="0"/>
        <w:ind w:left="575" w:leftChars="0" w:hanging="575" w:firstLineChars="0"/>
        <w:rPr>
          <w:rFonts w:hint="eastAsia"/>
        </w:rPr>
      </w:pPr>
      <w:r>
        <w:rPr>
          <w:rFonts w:hint="eastAsia"/>
          <w:lang w:val="en-US" w:eastAsia="zh-CN"/>
        </w:rPr>
        <w:t>前置服务器资源设计</w:t>
      </w:r>
    </w:p>
    <w:p w14:paraId="584C145A">
      <w:pPr>
        <w:ind w:firstLine="480" w:firstLineChars="200"/>
        <w:rPr>
          <w:rFonts w:hint="default" w:ascii="宋体" w:hAnsi="宋体" w:cs="Times New Roman"/>
          <w:i w:val="0"/>
          <w:iCs w:val="0"/>
          <w:caps w:val="0"/>
          <w:color w:val="auto"/>
          <w:spacing w:val="0"/>
          <w:sz w:val="24"/>
          <w:szCs w:val="24"/>
          <w:highlight w:val="none"/>
          <w:shd w:val="clear"/>
          <w:lang w:val="en-US" w:eastAsia="zh-CN"/>
        </w:rPr>
      </w:pPr>
      <w:r>
        <w:rPr>
          <w:rFonts w:hint="eastAsia" w:ascii="宋体" w:hAnsi="宋体" w:cs="Times New Roman"/>
          <w:i w:val="0"/>
          <w:iCs w:val="0"/>
          <w:caps w:val="0"/>
          <w:color w:val="auto"/>
          <w:spacing w:val="0"/>
          <w:sz w:val="24"/>
          <w:szCs w:val="24"/>
          <w:highlight w:val="none"/>
          <w:shd w:val="clear"/>
          <w:lang w:val="en-US" w:eastAsia="zh-CN"/>
        </w:rPr>
        <w:t>本方案规划基于虚拟化技术，将多台前置服务器整合为统一的前置服务器虚拟化资源池，实现计算、存储、网络资源的池化管理与按需分配，从而提高资</w:t>
      </w:r>
      <w:r>
        <w:rPr>
          <w:rFonts w:hint="eastAsia" w:ascii="宋体" w:hAnsi="宋体" w:eastAsia="宋体" w:cs="Times New Roman"/>
          <w:i w:val="0"/>
          <w:iCs w:val="0"/>
          <w:caps w:val="0"/>
          <w:color w:val="auto"/>
          <w:spacing w:val="0"/>
          <w:sz w:val="24"/>
          <w:szCs w:val="24"/>
          <w:highlight w:val="none"/>
          <w:shd w:val="clear"/>
          <w:lang w:val="en-US" w:eastAsia="zh-CN"/>
        </w:rPr>
        <w:t>源利用率。经统计，患者智能服务前置机、移动医保支付系统前置机、PACS系统前置机、其他接口前置机总共需要的计算存储资源应不低于48核CPU、84GB内存、11.9TB硬盘。</w:t>
      </w:r>
      <w:r>
        <w:rPr>
          <w:rFonts w:hint="eastAsia" w:ascii="宋体" w:hAnsi="宋体" w:cs="Times New Roman"/>
          <w:i w:val="0"/>
          <w:iCs w:val="0"/>
          <w:caps w:val="0"/>
          <w:color w:val="auto"/>
          <w:spacing w:val="0"/>
          <w:sz w:val="24"/>
          <w:szCs w:val="24"/>
          <w:highlight w:val="none"/>
          <w:shd w:val="clear"/>
          <w:lang w:val="en-US" w:eastAsia="zh-CN"/>
        </w:rPr>
        <w:t>基于冗余原则，本方案规划前置服务器资源池应不低于64个vCPU、128G内存、14TB硬盘。</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525"/>
        <w:gridCol w:w="4930"/>
        <w:gridCol w:w="838"/>
      </w:tblGrid>
      <w:tr w14:paraId="50F0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2" w:hRule="atLeast"/>
          <w:tblHeader/>
          <w:jc w:val="center"/>
        </w:trPr>
        <w:tc>
          <w:tcPr>
            <w:tcW w:w="719" w:type="dxa"/>
            <w:vAlign w:val="center"/>
          </w:tcPr>
          <w:p w14:paraId="712FF6B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525" w:type="dxa"/>
            <w:vAlign w:val="center"/>
          </w:tcPr>
          <w:p w14:paraId="4F5DF9C6">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4930" w:type="dxa"/>
            <w:vAlign w:val="center"/>
          </w:tcPr>
          <w:p w14:paraId="206DDD6E">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技术指标与服务要求</w:t>
            </w:r>
          </w:p>
        </w:tc>
        <w:tc>
          <w:tcPr>
            <w:tcW w:w="838" w:type="dxa"/>
            <w:vAlign w:val="center"/>
          </w:tcPr>
          <w:p w14:paraId="6FC6EFCE">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r>
      <w:tr w14:paraId="40DE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shd w:val="clear" w:color="auto" w:fill="auto"/>
            <w:vAlign w:val="center"/>
          </w:tcPr>
          <w:p w14:paraId="379C3CF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GB" w:eastAsia="zh-CN" w:bidi="ar-SA"/>
              </w:rPr>
            </w:pPr>
            <w:r>
              <w:rPr>
                <w:rFonts w:hint="eastAsia" w:asciiTheme="minorEastAsia" w:hAnsiTheme="minorEastAsia" w:eastAsiaTheme="minorEastAsia" w:cstheme="minorEastAsia"/>
                <w:color w:val="auto"/>
                <w:sz w:val="24"/>
                <w:szCs w:val="24"/>
                <w:highlight w:val="none"/>
              </w:rPr>
              <w:t>1</w:t>
            </w:r>
          </w:p>
        </w:tc>
        <w:tc>
          <w:tcPr>
            <w:tcW w:w="1525" w:type="dxa"/>
            <w:shd w:val="clear" w:color="auto" w:fill="auto"/>
            <w:vAlign w:val="center"/>
          </w:tcPr>
          <w:p w14:paraId="17A7C5E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虚拟化前置机</w:t>
            </w:r>
          </w:p>
        </w:tc>
        <w:tc>
          <w:tcPr>
            <w:tcW w:w="4930" w:type="dxa"/>
            <w:shd w:val="clear" w:color="auto" w:fill="auto"/>
            <w:vAlign w:val="center"/>
          </w:tcPr>
          <w:p w14:paraId="6385DFD2">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1.★前置机硬件应满足《通用服务器政府采购需求标准2023年版）》中加*的指标要求，供应商应出具承诺书。</w:t>
            </w:r>
          </w:p>
          <w:p w14:paraId="69A93BA3">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2.★CPU信息：≥</w:t>
            </w:r>
            <w:r>
              <w:rPr>
                <w:rFonts w:hint="eastAsia" w:ascii="宋体" w:hAnsi="宋体" w:cs="宋体"/>
                <w:i w:val="0"/>
                <w:iCs w:val="0"/>
                <w:color w:val="auto"/>
                <w:kern w:val="0"/>
                <w:sz w:val="24"/>
                <w:szCs w:val="24"/>
                <w:highlight w:val="none"/>
                <w:u w:val="none"/>
                <w:lang w:val="en-US" w:eastAsia="zh-CN" w:bidi="ar"/>
              </w:rPr>
              <w:t>1</w:t>
            </w:r>
            <w:r>
              <w:rPr>
                <w:rFonts w:hint="default" w:ascii="宋体" w:hAnsi="宋体" w:eastAsia="宋体" w:cs="宋体"/>
                <w:i w:val="0"/>
                <w:iCs w:val="0"/>
                <w:color w:val="auto"/>
                <w:kern w:val="0"/>
                <w:sz w:val="24"/>
                <w:szCs w:val="24"/>
                <w:highlight w:val="none"/>
                <w:u w:val="none"/>
                <w:lang w:val="en-US" w:eastAsia="zh-CN" w:bidi="ar"/>
              </w:rPr>
              <w:t>颗国产化处理器，总物理核数≥32，主频≥2.2 GHz，末级缓存/L3级缓存容量≥32MB，</w:t>
            </w:r>
            <w:r>
              <w:rPr>
                <w:rFonts w:hint="eastAsia" w:ascii="宋体" w:hAnsi="宋体" w:cs="宋体"/>
                <w:i w:val="0"/>
                <w:iCs w:val="0"/>
                <w:color w:val="auto"/>
                <w:kern w:val="0"/>
                <w:sz w:val="24"/>
                <w:szCs w:val="24"/>
                <w:highlight w:val="none"/>
                <w:u w:val="none"/>
                <w:lang w:val="en-US" w:eastAsia="zh-CN" w:bidi="ar"/>
              </w:rPr>
              <w:t>总</w:t>
            </w:r>
            <w:r>
              <w:rPr>
                <w:rFonts w:hint="default" w:ascii="宋体" w:hAnsi="宋体" w:eastAsia="宋体" w:cs="宋体"/>
                <w:i w:val="0"/>
                <w:iCs w:val="0"/>
                <w:color w:val="auto"/>
                <w:kern w:val="0"/>
                <w:sz w:val="24"/>
                <w:szCs w:val="24"/>
                <w:highlight w:val="none"/>
                <w:u w:val="none"/>
                <w:lang w:val="en-US" w:eastAsia="zh-CN" w:bidi="ar"/>
              </w:rPr>
              <w:t>线程数≥64，</w:t>
            </w:r>
            <w:r>
              <w:rPr>
                <w:rFonts w:hint="eastAsia" w:ascii="宋体" w:hAnsi="宋体" w:cs="宋体"/>
                <w:i w:val="0"/>
                <w:iCs w:val="0"/>
                <w:color w:val="auto"/>
                <w:kern w:val="0"/>
                <w:sz w:val="24"/>
                <w:szCs w:val="24"/>
                <w:highlight w:val="none"/>
                <w:u w:val="none"/>
                <w:lang w:val="en-US" w:eastAsia="zh-CN" w:bidi="ar"/>
              </w:rPr>
              <w:t>单CPU</w:t>
            </w:r>
            <w:r>
              <w:rPr>
                <w:rFonts w:hint="default" w:ascii="宋体" w:hAnsi="宋体" w:eastAsia="宋体" w:cs="宋体"/>
                <w:i w:val="0"/>
                <w:iCs w:val="0"/>
                <w:color w:val="auto"/>
                <w:kern w:val="0"/>
                <w:sz w:val="24"/>
                <w:szCs w:val="24"/>
                <w:highlight w:val="none"/>
                <w:u w:val="none"/>
                <w:lang w:val="en-US" w:eastAsia="zh-CN" w:bidi="ar"/>
              </w:rPr>
              <w:t>热设计功耗为≤</w:t>
            </w:r>
            <w:r>
              <w:rPr>
                <w:rFonts w:hint="eastAsia" w:ascii="宋体" w:hAnsi="宋体" w:cs="宋体"/>
                <w:i w:val="0"/>
                <w:iCs w:val="0"/>
                <w:color w:val="auto"/>
                <w:kern w:val="0"/>
                <w:sz w:val="24"/>
                <w:szCs w:val="24"/>
                <w:highlight w:val="none"/>
                <w:u w:val="none"/>
                <w:lang w:val="en-US" w:eastAsia="zh-CN" w:bidi="ar"/>
              </w:rPr>
              <w:t>22</w:t>
            </w:r>
            <w:r>
              <w:rPr>
                <w:rFonts w:hint="default" w:ascii="宋体" w:hAnsi="宋体" w:eastAsia="宋体" w:cs="宋体"/>
                <w:i w:val="0"/>
                <w:iCs w:val="0"/>
                <w:color w:val="auto"/>
                <w:kern w:val="0"/>
                <w:sz w:val="24"/>
                <w:szCs w:val="24"/>
                <w:highlight w:val="none"/>
                <w:u w:val="none"/>
                <w:lang w:val="en-US" w:eastAsia="zh-CN" w:bidi="ar"/>
              </w:rPr>
              <w:t>0W，支持内存的最高速率≥2933MHz，内存通道数≥4。</w:t>
            </w:r>
          </w:p>
          <w:p w14:paraId="5305EF8A">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3.★主板支持的CPU和内存情况：主板应支持国产化CPU，支持内存数量≥24条。</w:t>
            </w:r>
          </w:p>
          <w:p w14:paraId="1F52A2E2">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4.★主板内存槽数量：非板载内存的可扩展插槽数量应不少于24个。</w:t>
            </w:r>
          </w:p>
          <w:p w14:paraId="1AF03A88">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5.★主板存储接口：至少支持SATA、SAS、M.2、U.2等存储接口中的1种。</w:t>
            </w:r>
          </w:p>
          <w:p w14:paraId="30B60C40">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6.★PCIe插槽接口：符合PCIe3.0或以上的高速串行计算机扩展总线标准，PCIe的接口速率与位宽需保证向下兼容。</w:t>
            </w:r>
          </w:p>
          <w:p w14:paraId="5632AAB0">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7.★主板PCIe插槽数量及规格：PCIe插槽或接口应不少于5个。</w:t>
            </w:r>
          </w:p>
          <w:p w14:paraId="7A16262F">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8.★内存规格：内存数量≥2，内存规格≥DDR4；实配内存总容量≥128GB。</w:t>
            </w:r>
          </w:p>
          <w:p w14:paraId="1D362698">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9.★存储规格：支持2.5/3.5英寸硬盘数量≥8块；实配≥2块480G SATA SSD硬盘，≥3块8TB 7.2K SATA HDD硬盘。</w:t>
            </w:r>
          </w:p>
          <w:p w14:paraId="2AB544FC">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10.★网络规格：配备≥4个1GE电口。</w:t>
            </w:r>
          </w:p>
          <w:p w14:paraId="63B620EE">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11.★外部接口规格：≥2个VGA显示接口，≥4个USB接口。</w:t>
            </w:r>
          </w:p>
          <w:p w14:paraId="43ECC40C">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12.★电源规格：电源模块数量≥2个，电源模块功率应有一定冗余，满足处理器满载时的需求。</w:t>
            </w:r>
          </w:p>
          <w:p w14:paraId="4083473B">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13.★服务周期：a)产品免费服务周期（含换件和维修）应不小于3 年；b)设备停产后继续提供质量保障服务（含备品备件），服务终止时间与最后一批设备交付时间间隔不低于6 年；c)产品停止服务时间应提前1 年告知客户；d)产品发布日期需在随机文件中明确。</w:t>
            </w:r>
          </w:p>
          <w:p w14:paraId="2E6CB8F2">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14.★配套计算虚拟化软件授权-2CPU，提供3年软件升级和技术支持服务。</w:t>
            </w:r>
          </w:p>
        </w:tc>
        <w:tc>
          <w:tcPr>
            <w:tcW w:w="838" w:type="dxa"/>
            <w:shd w:val="clear" w:color="auto" w:fill="auto"/>
            <w:vAlign w:val="center"/>
          </w:tcPr>
          <w:p w14:paraId="7A8D5152">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1套</w:t>
            </w:r>
          </w:p>
        </w:tc>
      </w:tr>
      <w:tr w14:paraId="0FBB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shd w:val="clear" w:color="auto" w:fill="auto"/>
            <w:vAlign w:val="center"/>
          </w:tcPr>
          <w:p w14:paraId="1D6D4592">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2</w:t>
            </w:r>
          </w:p>
        </w:tc>
        <w:tc>
          <w:tcPr>
            <w:tcW w:w="1525" w:type="dxa"/>
            <w:shd w:val="clear" w:color="auto" w:fill="auto"/>
            <w:vAlign w:val="center"/>
          </w:tcPr>
          <w:p w14:paraId="739E439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国家传染病监测预警前置机</w:t>
            </w:r>
          </w:p>
        </w:tc>
        <w:tc>
          <w:tcPr>
            <w:tcW w:w="4930" w:type="dxa"/>
            <w:shd w:val="clear" w:color="auto" w:fill="auto"/>
            <w:vAlign w:val="center"/>
          </w:tcPr>
          <w:p w14:paraId="4C59A1EE">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1.★前置机硬件应满足《通用服务器政府采购需求标准2023年版）》中加*的指标要求，供应商应出具承诺书。</w:t>
            </w:r>
          </w:p>
          <w:p w14:paraId="536F559E">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2.★CPU信息：≥1颗国产化处理器，总物理核数≥32，主频≥2.2GHz，末级缓存/L3级缓存容量≥32MB，线程数≥32，</w:t>
            </w:r>
            <w:r>
              <w:rPr>
                <w:rFonts w:hint="eastAsia" w:ascii="宋体" w:hAnsi="宋体" w:cs="宋体"/>
                <w:i w:val="0"/>
                <w:iCs w:val="0"/>
                <w:color w:val="auto"/>
                <w:kern w:val="0"/>
                <w:sz w:val="24"/>
                <w:szCs w:val="24"/>
                <w:highlight w:val="none"/>
                <w:u w:val="none"/>
                <w:lang w:val="en-US" w:eastAsia="zh-CN" w:bidi="ar"/>
              </w:rPr>
              <w:t>单CPU</w:t>
            </w:r>
            <w:r>
              <w:rPr>
                <w:rFonts w:hint="default" w:ascii="宋体" w:hAnsi="宋体" w:eastAsia="宋体" w:cs="宋体"/>
                <w:i w:val="0"/>
                <w:iCs w:val="0"/>
                <w:color w:val="auto"/>
                <w:kern w:val="0"/>
                <w:sz w:val="24"/>
                <w:szCs w:val="24"/>
                <w:highlight w:val="none"/>
                <w:u w:val="none"/>
                <w:lang w:val="en-US" w:eastAsia="zh-CN" w:bidi="ar"/>
              </w:rPr>
              <w:t>热设计功耗为≤</w:t>
            </w:r>
            <w:r>
              <w:rPr>
                <w:rFonts w:hint="eastAsia" w:ascii="宋体" w:hAnsi="宋体" w:cs="宋体"/>
                <w:i w:val="0"/>
                <w:iCs w:val="0"/>
                <w:color w:val="auto"/>
                <w:kern w:val="0"/>
                <w:sz w:val="24"/>
                <w:szCs w:val="24"/>
                <w:highlight w:val="none"/>
                <w:u w:val="none"/>
                <w:lang w:val="en-US" w:eastAsia="zh-CN" w:bidi="ar"/>
              </w:rPr>
              <w:t>22</w:t>
            </w:r>
            <w:r>
              <w:rPr>
                <w:rFonts w:hint="default" w:ascii="宋体" w:hAnsi="宋体" w:eastAsia="宋体" w:cs="宋体"/>
                <w:i w:val="0"/>
                <w:iCs w:val="0"/>
                <w:color w:val="auto"/>
                <w:kern w:val="0"/>
                <w:sz w:val="24"/>
                <w:szCs w:val="24"/>
                <w:highlight w:val="none"/>
                <w:u w:val="none"/>
                <w:lang w:val="en-US" w:eastAsia="zh-CN" w:bidi="ar"/>
              </w:rPr>
              <w:t>0W，支持内存的最高速率≥2933MHz，内存通道数≥4。</w:t>
            </w:r>
          </w:p>
          <w:p w14:paraId="76A30036">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3.★主板支持的CPU和内存情况：主板应支持国产化CPU，支持内存数量≥16条。</w:t>
            </w:r>
          </w:p>
          <w:p w14:paraId="3E00980E">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4.★主板内存槽数量：非板载内存的可扩展插槽数量应不少于16个。</w:t>
            </w:r>
          </w:p>
          <w:p w14:paraId="32F255F9">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5.★主板存储接口：至少支持SATA、SAS、M.2、U.2等存储接口中的1种。</w:t>
            </w:r>
          </w:p>
          <w:p w14:paraId="0C894917">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6.★PCIe插槽接口：符合PCIe3.0或以上的高速串行计算机扩展总线标准，PCIe的接口速率与位宽需保证向下兼容。</w:t>
            </w:r>
          </w:p>
          <w:p w14:paraId="73538F89">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7.★主板PCIe插槽数量及规格：PCIe 插槽或接口应不少于5个。</w:t>
            </w:r>
          </w:p>
          <w:p w14:paraId="0E5958C8">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8.★内存规格：内存数量≥2，内存规格≥DDR4；实配内存总容量≥128GB。</w:t>
            </w:r>
          </w:p>
          <w:p w14:paraId="6EF25B39">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9.★存储规格：支持2.5/3.5英寸硬盘数量≥4块；实配≥2块960G SATA SSD硬盘。</w:t>
            </w:r>
          </w:p>
          <w:p w14:paraId="4A6282B6">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10.★网络规格：配备≥4个1GE电口。</w:t>
            </w:r>
          </w:p>
          <w:p w14:paraId="1C0EF611">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11.★外部接口规格：≥2个VGA显示接口，≥4个USB接口。</w:t>
            </w:r>
          </w:p>
          <w:p w14:paraId="37577307">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12.★电源规格：电源模块数量≥2个，电源模块功率应有一定冗余，满足处理器满载时的需求。</w:t>
            </w:r>
          </w:p>
          <w:p w14:paraId="181D6C8A">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13.★操作系统：采用麒麟/欧拉/统信等国产操作系统的服务器版。</w:t>
            </w:r>
          </w:p>
          <w:p w14:paraId="437B6441">
            <w:pPr>
              <w:widowControl w:val="0"/>
              <w:numPr>
                <w:ilvl w:val="0"/>
                <w:numId w:val="0"/>
              </w:numPr>
              <w:spacing w:beforeLines="50" w:afterLines="50"/>
              <w:jc w:val="left"/>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14.★服务周期：a) 产品免费服务周期（含换件和维修）应不小于3 年；b) 设备停产后继续提供质量保障服务（含备品备件），服务终止时间与最后一批设备交付时间间隔不低于6 年；c) 产品停止服务时间应提前1 年告知客户；d) 产品发布日期需在随机文件中明确。</w:t>
            </w:r>
          </w:p>
        </w:tc>
        <w:tc>
          <w:tcPr>
            <w:tcW w:w="838" w:type="dxa"/>
            <w:shd w:val="clear" w:color="auto" w:fill="auto"/>
            <w:vAlign w:val="center"/>
          </w:tcPr>
          <w:p w14:paraId="076C6D94">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1台</w:t>
            </w:r>
          </w:p>
        </w:tc>
      </w:tr>
      <w:tr w14:paraId="0CF6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9" w:type="dxa"/>
            <w:shd w:val="clear" w:color="auto" w:fill="auto"/>
            <w:vAlign w:val="center"/>
          </w:tcPr>
          <w:p w14:paraId="711473E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525" w:type="dxa"/>
            <w:shd w:val="clear" w:color="auto" w:fill="auto"/>
            <w:vAlign w:val="center"/>
          </w:tcPr>
          <w:p w14:paraId="0C0AEB82">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全民健康信息平台前置机</w:t>
            </w:r>
          </w:p>
        </w:tc>
        <w:tc>
          <w:tcPr>
            <w:tcW w:w="4930" w:type="dxa"/>
            <w:shd w:val="clear" w:color="auto" w:fill="auto"/>
            <w:vAlign w:val="center"/>
          </w:tcPr>
          <w:p w14:paraId="3E55A344">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1.★前置机硬件应满足《通用服务器政府采购需求标准2023年版）》中加*的指标要求，供应商应出具承诺书。</w:t>
            </w:r>
          </w:p>
          <w:p w14:paraId="0CD00B5C">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2.★CPU信息：≥1颗国产化处理器，总物理核数≥32，主频≥2.2GHz，末级缓存/L3级缓存容量≥32MB，线程数≥32，</w:t>
            </w:r>
            <w:r>
              <w:rPr>
                <w:rFonts w:hint="eastAsia" w:ascii="宋体" w:hAnsi="宋体" w:cs="宋体"/>
                <w:i w:val="0"/>
                <w:iCs w:val="0"/>
                <w:color w:val="auto"/>
                <w:kern w:val="0"/>
                <w:sz w:val="24"/>
                <w:szCs w:val="24"/>
                <w:highlight w:val="none"/>
                <w:u w:val="none"/>
                <w:lang w:val="en-US" w:eastAsia="zh-CN" w:bidi="ar"/>
              </w:rPr>
              <w:t>单CPU</w:t>
            </w:r>
            <w:r>
              <w:rPr>
                <w:rFonts w:hint="eastAsia" w:ascii="宋体" w:hAnsi="宋体" w:eastAsia="宋体" w:cs="宋体"/>
                <w:i w:val="0"/>
                <w:iCs w:val="0"/>
                <w:color w:val="auto"/>
                <w:kern w:val="0"/>
                <w:sz w:val="24"/>
                <w:szCs w:val="24"/>
                <w:highlight w:val="none"/>
                <w:u w:val="none"/>
                <w:lang w:val="en-US" w:eastAsia="zh-CN" w:bidi="ar"/>
              </w:rPr>
              <w:t>热设计功耗为≤</w:t>
            </w:r>
            <w:r>
              <w:rPr>
                <w:rFonts w:hint="eastAsia" w:ascii="宋体" w:hAnsi="宋体" w:cs="宋体"/>
                <w:i w:val="0"/>
                <w:iCs w:val="0"/>
                <w:color w:val="auto"/>
                <w:kern w:val="0"/>
                <w:sz w:val="24"/>
                <w:szCs w:val="24"/>
                <w:highlight w:val="none"/>
                <w:u w:val="none"/>
                <w:lang w:val="en-US" w:eastAsia="zh-CN" w:bidi="ar"/>
              </w:rPr>
              <w:t>22</w:t>
            </w:r>
            <w:r>
              <w:rPr>
                <w:rFonts w:hint="eastAsia" w:ascii="宋体" w:hAnsi="宋体" w:eastAsia="宋体" w:cs="宋体"/>
                <w:i w:val="0"/>
                <w:iCs w:val="0"/>
                <w:color w:val="auto"/>
                <w:kern w:val="0"/>
                <w:sz w:val="24"/>
                <w:szCs w:val="24"/>
                <w:highlight w:val="none"/>
                <w:u w:val="none"/>
                <w:lang w:val="en-US" w:eastAsia="zh-CN" w:bidi="ar"/>
              </w:rPr>
              <w:t>0W，支持内存的最高速率≥2933MHz，内存通道数≥4。</w:t>
            </w:r>
          </w:p>
          <w:p w14:paraId="11F9DCB7">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3.★主板支持的CPU和内存情况：主板应支持国产化CPU，支持内存数量≥16条。</w:t>
            </w:r>
          </w:p>
          <w:p w14:paraId="78DADA8B">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4.★主板内存槽数量：非板载内存的可扩展插槽数量应不少于16个。</w:t>
            </w:r>
          </w:p>
          <w:p w14:paraId="0C37E00A">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5.★主板存储接口：至少支持SATA、SAS、M.2、U.2等存储接口中的1种。</w:t>
            </w:r>
          </w:p>
          <w:p w14:paraId="333016AC">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6.★PCIe插槽接口：符合PCIe3.0或以上的高速串行计算机扩展总线标准，PCIe的接口速率与位宽需保证向下兼容。</w:t>
            </w:r>
          </w:p>
          <w:p w14:paraId="74147BAE">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7.★主板PCIe插槽数量及规格：PCIe 插槽或接口应不少于5个。</w:t>
            </w:r>
          </w:p>
          <w:p w14:paraId="173184E7">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8.★内存规格：内存数量≥2，内存规格≥DDR4；实配内存总容量≥64GB。</w:t>
            </w:r>
          </w:p>
          <w:p w14:paraId="1BA89FD0">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9.★存储规格：支持2.5/3.5英寸硬盘数量≥4块；实配≥2块1.92TB SATA SSD硬盘。</w:t>
            </w:r>
          </w:p>
          <w:p w14:paraId="4E9002AA">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10.★网络规格：配备≥4个1GE电口。</w:t>
            </w:r>
          </w:p>
          <w:p w14:paraId="6753F075">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11.★外部接口规格：≥2个VGA显示接口，≥4个USB接口。</w:t>
            </w:r>
          </w:p>
          <w:p w14:paraId="5B742448">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12.★电源规格：电源模块数量≥2个，电源模块功率应有一定冗余，满足处理器满载时的需求。</w:t>
            </w:r>
          </w:p>
          <w:p w14:paraId="0EC21E4F">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13.★操作系统：采用麒麟/欧拉/统信等国产操作系统的服务器版。</w:t>
            </w:r>
          </w:p>
          <w:p w14:paraId="4137F04B">
            <w:pPr>
              <w:widowControl w:val="0"/>
              <w:numPr>
                <w:ilvl w:val="0"/>
                <w:numId w:val="0"/>
              </w:numPr>
              <w:spacing w:beforeLines="50" w:afterLines="5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14.★服务周期：a) 产品免费服务周期（含换件和维修）应不小于3 年；b) 设备停产后继续提供质量保障服务（含备品备件），服务终止时间与最后一批设备交付时间间隔不低于6 年；c) 产品停止服务时间应提前1 年告知客户；d) 产品发布日期需在随机文件中明确。</w:t>
            </w:r>
          </w:p>
        </w:tc>
        <w:tc>
          <w:tcPr>
            <w:tcW w:w="838" w:type="dxa"/>
            <w:shd w:val="clear" w:color="auto" w:fill="auto"/>
            <w:vAlign w:val="center"/>
          </w:tcPr>
          <w:p w14:paraId="47DE1134">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1台</w:t>
            </w:r>
          </w:p>
        </w:tc>
      </w:tr>
    </w:tbl>
    <w:p w14:paraId="5C67A221">
      <w:pPr>
        <w:pStyle w:val="2"/>
        <w:bidi w:val="0"/>
        <w:ind w:left="432" w:leftChars="0" w:hanging="432" w:firstLineChars="0"/>
      </w:pPr>
      <w:bookmarkStart w:id="37" w:name="_Toc5229"/>
      <w:r>
        <w:rPr>
          <w:rFonts w:hint="eastAsia"/>
        </w:rPr>
        <w:t>网络安全等保设计</w:t>
      </w:r>
      <w:bookmarkEnd w:id="37"/>
    </w:p>
    <w:p w14:paraId="0A6285BC">
      <w:pPr>
        <w:pStyle w:val="3"/>
        <w:bidi w:val="0"/>
        <w:ind w:left="575" w:leftChars="0" w:hanging="575" w:firstLineChars="0"/>
        <w:rPr>
          <w:rFonts w:hint="eastAsia"/>
        </w:rPr>
      </w:pPr>
      <w:bookmarkStart w:id="38" w:name="_Toc27733"/>
      <w:r>
        <w:rPr>
          <w:rFonts w:hint="eastAsia"/>
        </w:rPr>
        <w:t>项目概述</w:t>
      </w:r>
      <w:bookmarkEnd w:id="38"/>
    </w:p>
    <w:p w14:paraId="6B753D7A">
      <w:pPr>
        <w:pStyle w:val="5"/>
        <w:bidi w:val="0"/>
        <w:ind w:left="720" w:leftChars="0" w:hanging="720" w:firstLineChars="0"/>
      </w:pPr>
      <w:bookmarkStart w:id="39" w:name="_Toc6739"/>
      <w:r>
        <w:rPr>
          <w:rFonts w:hint="eastAsia"/>
        </w:rPr>
        <w:t>项目建设目标</w:t>
      </w:r>
      <w:bookmarkEnd w:id="39"/>
    </w:p>
    <w:p w14:paraId="6758CB8C">
      <w:pPr>
        <w:ind w:firstLine="480" w:firstLineChars="200"/>
        <w:rPr>
          <w:rFonts w:ascii="宋体" w:hAnsi="宋体"/>
          <w:color w:val="auto"/>
          <w:highlight w:val="none"/>
        </w:rPr>
      </w:pPr>
      <w:r>
        <w:rPr>
          <w:rFonts w:hint="eastAsia" w:ascii="宋体" w:hAnsi="宋体"/>
          <w:color w:val="auto"/>
          <w:highlight w:val="none"/>
        </w:rPr>
        <w:t>为促进</w:t>
      </w:r>
      <w:r>
        <w:rPr>
          <w:rFonts w:hint="eastAsia" w:ascii="宋体" w:hAnsi="宋体" w:cs="宋体"/>
          <w:color w:val="auto"/>
          <w:highlight w:val="none"/>
        </w:rPr>
        <w:t>麻章区人民医院医院</w:t>
      </w:r>
      <w:r>
        <w:rPr>
          <w:rFonts w:hint="eastAsia" w:ascii="宋体" w:hAnsi="宋体"/>
          <w:color w:val="auto"/>
          <w:highlight w:val="none"/>
        </w:rPr>
        <w:t>信息安全发展，响应国家和上级要求，进一步落实等级保护，夯实等级保护作为国家信息安全国策的成果，医院计划参照《计算机信息系统安全等级保护划分准则》（GB17859-1999） 和《信息安全技术</w:t>
      </w:r>
      <w:r>
        <w:rPr>
          <w:rFonts w:hint="eastAsia" w:ascii="宋体" w:hAnsi="宋体"/>
          <w:color w:val="auto"/>
          <w:highlight w:val="none"/>
          <w:lang w:val="en-US"/>
        </w:rPr>
        <w:t>网络</w:t>
      </w:r>
      <w:r>
        <w:rPr>
          <w:rFonts w:hint="eastAsia" w:ascii="宋体" w:hAnsi="宋体"/>
          <w:color w:val="auto"/>
          <w:highlight w:val="none"/>
        </w:rPr>
        <w:t>安全等级保护定级指南》（GB/T 22240-20</w:t>
      </w:r>
      <w:r>
        <w:rPr>
          <w:rFonts w:hint="eastAsia" w:ascii="宋体" w:hAnsi="宋体"/>
          <w:color w:val="auto"/>
          <w:highlight w:val="none"/>
          <w:lang w:val="en-US"/>
        </w:rPr>
        <w:t>20</w:t>
      </w:r>
      <w:r>
        <w:rPr>
          <w:rFonts w:hint="eastAsia" w:ascii="宋体" w:hAnsi="宋体"/>
          <w:color w:val="auto"/>
          <w:highlight w:val="none"/>
        </w:rPr>
        <w:t>）及其最新报批稿要求将医院HIS系统、LIS系统、PACS系统、EMR系统、医院门户网站系统拟定为二级，按照《信息安全技术 网络安全等级保护基本要求》（GB/T 22239-2019）完成系统二级等保建设。</w:t>
      </w:r>
    </w:p>
    <w:p w14:paraId="4FCEAFDA">
      <w:pPr>
        <w:pStyle w:val="5"/>
        <w:bidi w:val="0"/>
        <w:ind w:left="720" w:leftChars="0" w:hanging="720" w:firstLineChars="0"/>
      </w:pPr>
      <w:bookmarkStart w:id="40" w:name="_Toc29803"/>
      <w:r>
        <w:rPr>
          <w:rFonts w:hint="eastAsia"/>
        </w:rPr>
        <w:t>项目建设</w:t>
      </w:r>
      <w:bookmarkEnd w:id="40"/>
      <w:r>
        <w:rPr>
          <w:rFonts w:hint="eastAsia"/>
        </w:rPr>
        <w:t>要求</w:t>
      </w:r>
    </w:p>
    <w:p w14:paraId="5775DB70">
      <w:pPr>
        <w:ind w:firstLine="480" w:firstLineChars="200"/>
        <w:rPr>
          <w:rFonts w:ascii="宋体" w:hAnsi="宋体"/>
          <w:color w:val="auto"/>
          <w:highlight w:val="none"/>
        </w:rPr>
      </w:pPr>
      <w:r>
        <w:rPr>
          <w:rFonts w:hint="eastAsia" w:ascii="宋体" w:hAnsi="宋体"/>
          <w:color w:val="auto"/>
          <w:highlight w:val="none"/>
        </w:rPr>
        <w:t>本次安全建设主要围绕新建院的网络安全、业务系统安全、业务主机安全、全网安全管理、安全合规审计等层面展开，参考等级保护2.0理论模型，参考主动安全原则。进行体系化的安全能力建设。本次方案建设目标如下：</w:t>
      </w:r>
    </w:p>
    <w:p w14:paraId="64DA028E">
      <w:pPr>
        <w:ind w:firstLine="480" w:firstLineChars="200"/>
        <w:rPr>
          <w:rFonts w:ascii="宋体" w:hAnsi="宋体"/>
          <w:color w:val="auto"/>
          <w:highlight w:val="none"/>
        </w:rPr>
      </w:pPr>
      <w:r>
        <w:rPr>
          <w:rFonts w:hint="eastAsia" w:ascii="宋体" w:hAnsi="宋体"/>
          <w:color w:val="auto"/>
          <w:highlight w:val="none"/>
        </w:rPr>
        <w:t>1)满足业务实际安全需求</w:t>
      </w:r>
    </w:p>
    <w:p w14:paraId="20DB3247">
      <w:pPr>
        <w:ind w:firstLine="480" w:firstLineChars="200"/>
        <w:rPr>
          <w:rFonts w:ascii="宋体" w:hAnsi="宋体"/>
          <w:color w:val="auto"/>
          <w:highlight w:val="none"/>
        </w:rPr>
      </w:pPr>
      <w:r>
        <w:rPr>
          <w:rFonts w:hint="eastAsia" w:ascii="宋体" w:hAnsi="宋体"/>
          <w:color w:val="auto"/>
          <w:highlight w:val="none"/>
        </w:rPr>
        <w:t>根据业务属性与业务特性，分区分域的进行安全能力建设，确保安全建设的全面性，同时确保全网安全建设整体性，构建基于等级保护的主动安全体系。</w:t>
      </w:r>
    </w:p>
    <w:p w14:paraId="1911A446">
      <w:pPr>
        <w:ind w:firstLine="480" w:firstLineChars="200"/>
        <w:rPr>
          <w:rFonts w:ascii="宋体" w:hAnsi="宋体"/>
          <w:color w:val="auto"/>
          <w:highlight w:val="none"/>
        </w:rPr>
      </w:pPr>
      <w:r>
        <w:rPr>
          <w:rFonts w:hint="eastAsia" w:ascii="宋体" w:hAnsi="宋体"/>
          <w:color w:val="auto"/>
          <w:highlight w:val="none"/>
        </w:rPr>
        <w:t>2)满足合规性技术要求</w:t>
      </w:r>
    </w:p>
    <w:p w14:paraId="6ABA0D5F">
      <w:pPr>
        <w:ind w:firstLine="480" w:firstLineChars="200"/>
        <w:rPr>
          <w:rFonts w:ascii="宋体" w:hAnsi="宋体"/>
          <w:color w:val="auto"/>
          <w:highlight w:val="none"/>
        </w:rPr>
      </w:pPr>
      <w:r>
        <w:rPr>
          <w:rFonts w:hint="eastAsia" w:ascii="宋体" w:hAnsi="宋体"/>
          <w:color w:val="auto"/>
          <w:highlight w:val="none"/>
        </w:rPr>
        <w:t>参照《信息安全技术 网络安全等级保护基本要求》（GB/T 22239-2019）当中关于等级保护三级的相关要求进行安全加固方案设计，构建安全通信网络、安全区域边界、安全计算环境与安全管理中心。结合医疗行业行业特性，进行整体安全设计。</w:t>
      </w:r>
    </w:p>
    <w:p w14:paraId="38592A54">
      <w:pPr>
        <w:ind w:firstLine="480" w:firstLineChars="200"/>
        <w:rPr>
          <w:rFonts w:ascii="宋体" w:hAnsi="宋体"/>
          <w:color w:val="auto"/>
          <w:highlight w:val="none"/>
        </w:rPr>
      </w:pPr>
      <w:r>
        <w:rPr>
          <w:rFonts w:hint="eastAsia" w:ascii="宋体" w:hAnsi="宋体"/>
          <w:color w:val="auto"/>
          <w:highlight w:val="none"/>
        </w:rPr>
        <w:t>3)构建主动安全技术体系</w:t>
      </w:r>
    </w:p>
    <w:p w14:paraId="11B47D35">
      <w:pPr>
        <w:ind w:firstLine="480" w:firstLineChars="200"/>
        <w:rPr>
          <w:rFonts w:ascii="宋体" w:hAnsi="宋体"/>
          <w:color w:val="auto"/>
          <w:highlight w:val="none"/>
        </w:rPr>
      </w:pPr>
      <w:r>
        <w:rPr>
          <w:rFonts w:hint="eastAsia" w:ascii="宋体" w:hAnsi="宋体"/>
          <w:color w:val="auto"/>
          <w:highlight w:val="none"/>
        </w:rPr>
        <w:t>在等级保护的基础上，进一步构建主动安全体系，构建安全检测能力、安全防御能力与安全处置能力。并实现各类安全能力在逻辑上、技术上的联动与相互赋能、提升运维、管理、处置的速度与效率，减轻运维压力。同时充分复用等级保护建设中的各类资产与能力，最大限度的提升设备利用率与建设性价比。</w:t>
      </w:r>
    </w:p>
    <w:p w14:paraId="6D791FA6">
      <w:pPr>
        <w:pStyle w:val="5"/>
        <w:bidi w:val="0"/>
        <w:ind w:left="720" w:leftChars="0" w:hanging="720" w:firstLineChars="0"/>
      </w:pPr>
      <w:r>
        <w:rPr>
          <w:rFonts w:hint="eastAsia"/>
        </w:rPr>
        <w:t>项目建设原则</w:t>
      </w:r>
    </w:p>
    <w:p w14:paraId="426147CD">
      <w:pPr>
        <w:ind w:firstLine="480" w:firstLineChars="200"/>
        <w:rPr>
          <w:rFonts w:ascii="宋体" w:hAnsi="宋体"/>
          <w:color w:val="auto"/>
          <w:highlight w:val="none"/>
        </w:rPr>
      </w:pPr>
      <w:r>
        <w:rPr>
          <w:rFonts w:hint="eastAsia" w:ascii="宋体" w:hAnsi="宋体"/>
          <w:color w:val="auto"/>
          <w:highlight w:val="none"/>
        </w:rPr>
        <w:t>1)</w:t>
      </w:r>
      <w:r>
        <w:rPr>
          <w:rFonts w:hint="eastAsia" w:ascii="宋体" w:hAnsi="宋体"/>
          <w:color w:val="auto"/>
          <w:highlight w:val="none"/>
        </w:rPr>
        <w:tab/>
      </w:r>
      <w:r>
        <w:rPr>
          <w:rFonts w:hint="eastAsia" w:ascii="宋体" w:hAnsi="宋体"/>
          <w:color w:val="auto"/>
          <w:highlight w:val="none"/>
        </w:rPr>
        <w:t>符合实际原则</w:t>
      </w:r>
    </w:p>
    <w:p w14:paraId="34C1006D">
      <w:pPr>
        <w:ind w:firstLine="480" w:firstLineChars="200"/>
        <w:rPr>
          <w:rFonts w:ascii="宋体" w:hAnsi="宋体"/>
          <w:color w:val="auto"/>
          <w:highlight w:val="none"/>
        </w:rPr>
      </w:pPr>
      <w:r>
        <w:rPr>
          <w:rFonts w:hint="eastAsia" w:ascii="宋体" w:hAnsi="宋体"/>
          <w:color w:val="auto"/>
          <w:highlight w:val="none"/>
        </w:rPr>
        <w:t>在安全建设过程中需基于网络安全现状及实际的业务需求、合规需求。结合本次建设中各业务系统的实际情况，防止与实际情况脱节，确保安全规划可实行、建设方案可落地。</w:t>
      </w:r>
    </w:p>
    <w:p w14:paraId="50745E2D">
      <w:pPr>
        <w:ind w:firstLine="48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rPr>
        <w:tab/>
      </w:r>
      <w:r>
        <w:rPr>
          <w:rFonts w:hint="eastAsia" w:ascii="宋体" w:hAnsi="宋体"/>
          <w:color w:val="auto"/>
          <w:highlight w:val="none"/>
        </w:rPr>
        <w:t>合法合规原则</w:t>
      </w:r>
    </w:p>
    <w:p w14:paraId="23D7D30C">
      <w:pPr>
        <w:ind w:firstLine="480" w:firstLineChars="200"/>
        <w:rPr>
          <w:rFonts w:ascii="宋体" w:hAnsi="宋体"/>
          <w:color w:val="auto"/>
          <w:highlight w:val="none"/>
        </w:rPr>
      </w:pPr>
      <w:r>
        <w:rPr>
          <w:rFonts w:hint="eastAsia" w:ascii="宋体" w:hAnsi="宋体"/>
          <w:color w:val="auto"/>
          <w:highlight w:val="none"/>
        </w:rPr>
        <w:t>在安全建设的全业务流程中充分参考国内网络安全建设法律法规、国家标准、国际标准、先进理论模型以及医疗行业安全建设实际经验，确保安全建设的合规性以及成熟性。</w:t>
      </w:r>
    </w:p>
    <w:p w14:paraId="000A5D17">
      <w:pPr>
        <w:ind w:firstLine="480" w:firstLineChars="200"/>
        <w:rPr>
          <w:rFonts w:ascii="宋体" w:hAnsi="宋体"/>
          <w:color w:val="auto"/>
          <w:highlight w:val="none"/>
        </w:rPr>
      </w:pPr>
      <w:r>
        <w:rPr>
          <w:rFonts w:hint="eastAsia" w:ascii="宋体" w:hAnsi="宋体"/>
          <w:color w:val="auto"/>
          <w:highlight w:val="none"/>
        </w:rPr>
        <w:t>3)</w:t>
      </w:r>
      <w:r>
        <w:rPr>
          <w:rFonts w:hint="eastAsia" w:ascii="宋体" w:hAnsi="宋体"/>
          <w:color w:val="auto"/>
          <w:highlight w:val="none"/>
        </w:rPr>
        <w:tab/>
      </w:r>
      <w:r>
        <w:rPr>
          <w:rFonts w:hint="eastAsia" w:ascii="宋体" w:hAnsi="宋体"/>
          <w:color w:val="auto"/>
          <w:highlight w:val="none"/>
        </w:rPr>
        <w:t>纵深防御原则</w:t>
      </w:r>
    </w:p>
    <w:p w14:paraId="01D6E4BC">
      <w:pPr>
        <w:ind w:firstLine="480" w:firstLineChars="200"/>
        <w:rPr>
          <w:rFonts w:ascii="宋体" w:hAnsi="宋体"/>
          <w:color w:val="auto"/>
          <w:highlight w:val="none"/>
        </w:rPr>
      </w:pPr>
      <w:r>
        <w:rPr>
          <w:rFonts w:hint="eastAsia" w:ascii="宋体" w:hAnsi="宋体"/>
          <w:color w:val="auto"/>
          <w:highlight w:val="none"/>
        </w:rPr>
        <w:t>单一的安全防线无法确保对后端所有系统的全面安全覆盖，攻击者可通过技术手段或社工学攻击进行绕过，为此在建设中需遵循纵深防御原则，在网络中构建多重防线。增加不法分子的攻击与渗透成本。</w:t>
      </w:r>
    </w:p>
    <w:p w14:paraId="41CFA6DF">
      <w:pPr>
        <w:ind w:firstLine="480" w:firstLineChars="200"/>
        <w:rPr>
          <w:rFonts w:ascii="宋体" w:hAnsi="宋体"/>
          <w:color w:val="auto"/>
          <w:highlight w:val="none"/>
        </w:rPr>
      </w:pPr>
      <w:r>
        <w:rPr>
          <w:rFonts w:hint="eastAsia" w:ascii="宋体" w:hAnsi="宋体"/>
          <w:color w:val="auto"/>
          <w:highlight w:val="none"/>
        </w:rPr>
        <w:t>4）全面防护原则</w:t>
      </w:r>
    </w:p>
    <w:p w14:paraId="015A3066">
      <w:pPr>
        <w:ind w:firstLine="480" w:firstLineChars="200"/>
        <w:rPr>
          <w:rFonts w:ascii="宋体" w:hAnsi="宋体"/>
          <w:color w:val="auto"/>
          <w:highlight w:val="none"/>
        </w:rPr>
      </w:pPr>
      <w:r>
        <w:rPr>
          <w:rFonts w:hint="eastAsia" w:ascii="宋体" w:hAnsi="宋体"/>
          <w:color w:val="auto"/>
          <w:highlight w:val="none"/>
        </w:rPr>
        <w:t>业务系统种类多样，数量繁杂，因此安全建设需遵循全面防护原则。对业务系统暴露出的所有脆弱面进行全面防护，避免出现“木桶效应”。</w:t>
      </w:r>
    </w:p>
    <w:p w14:paraId="07B0B20E">
      <w:pPr>
        <w:ind w:firstLine="480" w:firstLineChars="200"/>
        <w:rPr>
          <w:rFonts w:ascii="宋体" w:hAnsi="宋体"/>
          <w:color w:val="auto"/>
          <w:highlight w:val="none"/>
        </w:rPr>
      </w:pPr>
      <w:r>
        <w:rPr>
          <w:rFonts w:hint="eastAsia" w:ascii="宋体" w:hAnsi="宋体"/>
          <w:color w:val="auto"/>
          <w:highlight w:val="none"/>
        </w:rPr>
        <w:t>5)</w:t>
      </w:r>
      <w:r>
        <w:rPr>
          <w:rFonts w:hint="eastAsia" w:ascii="宋体" w:hAnsi="宋体"/>
          <w:color w:val="auto"/>
          <w:highlight w:val="none"/>
        </w:rPr>
        <w:tab/>
      </w:r>
      <w:r>
        <w:rPr>
          <w:rFonts w:hint="eastAsia" w:ascii="宋体" w:hAnsi="宋体"/>
          <w:color w:val="auto"/>
          <w:highlight w:val="none"/>
        </w:rPr>
        <w:t>合理建设原则</w:t>
      </w:r>
    </w:p>
    <w:p w14:paraId="306B6CD5">
      <w:pPr>
        <w:ind w:firstLine="480" w:firstLineChars="200"/>
        <w:rPr>
          <w:rFonts w:ascii="宋体" w:hAnsi="宋体"/>
          <w:color w:val="auto"/>
          <w:highlight w:val="none"/>
        </w:rPr>
      </w:pPr>
      <w:r>
        <w:rPr>
          <w:rFonts w:hint="eastAsia" w:ascii="宋体" w:hAnsi="宋体"/>
          <w:color w:val="auto"/>
          <w:highlight w:val="none"/>
        </w:rPr>
        <w:t>基于等级保护“分级防护”的原则，在安全建设中需满足合理性与适度建设原则，综合考虑建设成本、运维成本以及防护效果，确保建设性价比最高。</w:t>
      </w:r>
    </w:p>
    <w:p w14:paraId="127BAE28">
      <w:pPr>
        <w:ind w:firstLine="480" w:firstLineChars="200"/>
        <w:rPr>
          <w:rFonts w:ascii="宋体" w:hAnsi="宋体"/>
          <w:color w:val="auto"/>
          <w:highlight w:val="none"/>
        </w:rPr>
      </w:pPr>
      <w:r>
        <w:rPr>
          <w:rFonts w:hint="eastAsia" w:ascii="宋体" w:hAnsi="宋体"/>
          <w:color w:val="auto"/>
          <w:highlight w:val="none"/>
        </w:rPr>
        <w:t>5)</w:t>
      </w:r>
      <w:r>
        <w:rPr>
          <w:rFonts w:hint="eastAsia" w:ascii="宋体" w:hAnsi="宋体"/>
          <w:color w:val="auto"/>
          <w:highlight w:val="none"/>
        </w:rPr>
        <w:tab/>
      </w:r>
      <w:r>
        <w:rPr>
          <w:rFonts w:hint="eastAsia" w:ascii="宋体" w:hAnsi="宋体"/>
          <w:color w:val="auto"/>
          <w:highlight w:val="none"/>
        </w:rPr>
        <w:t>技术先进性原则</w:t>
      </w:r>
    </w:p>
    <w:p w14:paraId="25248A27">
      <w:pPr>
        <w:ind w:firstLine="480" w:firstLineChars="200"/>
        <w:rPr>
          <w:rFonts w:ascii="宋体" w:hAnsi="宋体"/>
          <w:color w:val="auto"/>
          <w:highlight w:val="none"/>
        </w:rPr>
      </w:pPr>
      <w:r>
        <w:rPr>
          <w:rFonts w:hint="eastAsia" w:ascii="宋体" w:hAnsi="宋体"/>
          <w:color w:val="auto"/>
          <w:highlight w:val="none"/>
        </w:rPr>
        <w:t>安全攻防技术快速迭代，新的攻击手段层出不穷。为此在方案设计与建设阶段需遵循先进性原则，确保建设完成后的安全体系可满足未来一段时间的实际业务需要。同时可较好的应对未来一段时间的安全需要。</w:t>
      </w:r>
    </w:p>
    <w:p w14:paraId="48BB3297">
      <w:pPr>
        <w:pStyle w:val="5"/>
        <w:bidi w:val="0"/>
        <w:ind w:left="720" w:leftChars="0" w:hanging="720" w:firstLineChars="0"/>
      </w:pPr>
      <w:bookmarkStart w:id="41" w:name="_Toc9885"/>
      <w:r>
        <w:rPr>
          <w:rFonts w:hint="eastAsia"/>
        </w:rPr>
        <w:t>项目建设依据</w:t>
      </w:r>
      <w:bookmarkEnd w:id="41"/>
    </w:p>
    <w:p w14:paraId="1BB21BC6">
      <w:pPr>
        <w:pStyle w:val="8"/>
        <w:bidi w:val="0"/>
        <w:ind w:left="864" w:leftChars="0" w:hanging="864" w:firstLineChars="0"/>
      </w:pPr>
      <w:r>
        <w:t>国家相关政策文件</w:t>
      </w:r>
    </w:p>
    <w:p w14:paraId="014241F6">
      <w:pPr>
        <w:ind w:firstLine="480" w:firstLineChars="200"/>
        <w:rPr>
          <w:rFonts w:ascii="宋体" w:hAnsi="宋体"/>
          <w:color w:val="auto"/>
          <w:highlight w:val="none"/>
        </w:rPr>
      </w:pPr>
      <w:r>
        <w:rPr>
          <w:rFonts w:hint="eastAsia" w:ascii="宋体" w:hAnsi="宋体"/>
          <w:color w:val="auto"/>
          <w:highlight w:val="none"/>
        </w:rPr>
        <w:t>1)</w:t>
      </w:r>
      <w:r>
        <w:rPr>
          <w:rFonts w:hint="eastAsia" w:ascii="宋体" w:hAnsi="宋体"/>
          <w:color w:val="auto"/>
          <w:highlight w:val="none"/>
        </w:rPr>
        <w:tab/>
      </w:r>
      <w:r>
        <w:rPr>
          <w:rFonts w:hint="eastAsia" w:ascii="宋体" w:hAnsi="宋体"/>
          <w:color w:val="auto"/>
          <w:highlight w:val="none"/>
        </w:rPr>
        <w:t>《中华人民共和国网络安全法》</w:t>
      </w:r>
    </w:p>
    <w:p w14:paraId="4A887D52">
      <w:pPr>
        <w:ind w:firstLine="48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rPr>
        <w:tab/>
      </w:r>
      <w:r>
        <w:rPr>
          <w:rFonts w:hint="eastAsia" w:ascii="宋体" w:hAnsi="宋体"/>
          <w:color w:val="auto"/>
          <w:highlight w:val="none"/>
        </w:rPr>
        <w:t>《中华人民共和国计算机信息系统安全保护条例》（国务院令147号）</w:t>
      </w:r>
    </w:p>
    <w:p w14:paraId="437C8045">
      <w:pPr>
        <w:ind w:firstLine="480" w:firstLineChars="200"/>
        <w:rPr>
          <w:rFonts w:ascii="宋体" w:hAnsi="宋体"/>
          <w:color w:val="auto"/>
          <w:highlight w:val="none"/>
        </w:rPr>
      </w:pPr>
      <w:r>
        <w:rPr>
          <w:rFonts w:hint="eastAsia" w:ascii="宋体" w:hAnsi="宋体"/>
          <w:color w:val="auto"/>
          <w:highlight w:val="none"/>
        </w:rPr>
        <w:t>3)</w:t>
      </w:r>
      <w:r>
        <w:rPr>
          <w:rFonts w:hint="eastAsia" w:ascii="宋体" w:hAnsi="宋体"/>
          <w:color w:val="auto"/>
          <w:highlight w:val="none"/>
        </w:rPr>
        <w:tab/>
      </w:r>
      <w:r>
        <w:rPr>
          <w:rFonts w:hint="eastAsia" w:ascii="宋体" w:hAnsi="宋体"/>
          <w:color w:val="auto"/>
          <w:highlight w:val="none"/>
        </w:rPr>
        <w:t>《国家信息化领导小组关于加强信息安全保障工作的意见》（中办发[2003]27号）</w:t>
      </w:r>
    </w:p>
    <w:p w14:paraId="0894D6F6">
      <w:pPr>
        <w:ind w:firstLine="480" w:firstLineChars="200"/>
        <w:rPr>
          <w:rFonts w:ascii="宋体" w:hAnsi="宋体"/>
          <w:color w:val="auto"/>
          <w:highlight w:val="none"/>
        </w:rPr>
      </w:pPr>
      <w:r>
        <w:rPr>
          <w:rFonts w:hint="eastAsia" w:ascii="宋体" w:hAnsi="宋体"/>
          <w:color w:val="auto"/>
          <w:highlight w:val="none"/>
        </w:rPr>
        <w:t>4)</w:t>
      </w:r>
      <w:r>
        <w:rPr>
          <w:rFonts w:hint="eastAsia" w:ascii="宋体" w:hAnsi="宋体"/>
          <w:color w:val="auto"/>
          <w:highlight w:val="none"/>
        </w:rPr>
        <w:tab/>
      </w:r>
      <w:r>
        <w:rPr>
          <w:rFonts w:hint="eastAsia" w:ascii="宋体" w:hAnsi="宋体"/>
          <w:color w:val="auto"/>
          <w:highlight w:val="none"/>
        </w:rPr>
        <w:t>《关于信息安全等级保护工作的实施意见》（公通字[2004]66号）</w:t>
      </w:r>
    </w:p>
    <w:p w14:paraId="27BDBF41">
      <w:pPr>
        <w:ind w:firstLine="480" w:firstLineChars="200"/>
        <w:rPr>
          <w:rFonts w:ascii="宋体" w:hAnsi="宋体"/>
          <w:color w:val="auto"/>
          <w:highlight w:val="none"/>
        </w:rPr>
      </w:pPr>
      <w:r>
        <w:rPr>
          <w:rFonts w:hint="eastAsia" w:ascii="宋体" w:hAnsi="宋体"/>
          <w:color w:val="auto"/>
          <w:highlight w:val="none"/>
        </w:rPr>
        <w:t>5)</w:t>
      </w:r>
      <w:r>
        <w:rPr>
          <w:rFonts w:hint="eastAsia" w:ascii="宋体" w:hAnsi="宋体"/>
          <w:color w:val="auto"/>
          <w:highlight w:val="none"/>
        </w:rPr>
        <w:tab/>
      </w:r>
      <w:r>
        <w:rPr>
          <w:rFonts w:hint="eastAsia" w:ascii="宋体" w:hAnsi="宋体"/>
          <w:color w:val="auto"/>
          <w:highlight w:val="none"/>
        </w:rPr>
        <w:t>《信息安全等级保护管理办法》（公通字[2007]43号）</w:t>
      </w:r>
    </w:p>
    <w:p w14:paraId="006EDF8A">
      <w:pPr>
        <w:ind w:firstLine="480" w:firstLineChars="200"/>
        <w:rPr>
          <w:rFonts w:ascii="宋体" w:hAnsi="宋体"/>
          <w:color w:val="auto"/>
          <w:highlight w:val="none"/>
        </w:rPr>
      </w:pPr>
      <w:r>
        <w:rPr>
          <w:rFonts w:hint="eastAsia" w:ascii="宋体" w:hAnsi="宋体"/>
          <w:color w:val="auto"/>
          <w:highlight w:val="none"/>
        </w:rPr>
        <w:t>6)</w:t>
      </w:r>
      <w:r>
        <w:rPr>
          <w:rFonts w:hint="eastAsia" w:ascii="宋体" w:hAnsi="宋体"/>
          <w:color w:val="auto"/>
          <w:highlight w:val="none"/>
        </w:rPr>
        <w:tab/>
      </w:r>
      <w:r>
        <w:rPr>
          <w:rFonts w:hint="eastAsia" w:ascii="宋体" w:hAnsi="宋体"/>
          <w:color w:val="auto"/>
          <w:highlight w:val="none"/>
        </w:rPr>
        <w:t>《关于开展全国重要信息系统安全等级保护定级工作的通知》（公信安[2007]861号）</w:t>
      </w:r>
    </w:p>
    <w:p w14:paraId="7998752B">
      <w:pPr>
        <w:ind w:firstLine="480" w:firstLineChars="200"/>
        <w:rPr>
          <w:rFonts w:ascii="宋体" w:hAnsi="宋体"/>
          <w:color w:val="auto"/>
          <w:highlight w:val="none"/>
        </w:rPr>
      </w:pPr>
      <w:r>
        <w:rPr>
          <w:rFonts w:hint="eastAsia" w:ascii="宋体" w:hAnsi="宋体"/>
          <w:color w:val="auto"/>
          <w:highlight w:val="none"/>
        </w:rPr>
        <w:t>7)</w:t>
      </w:r>
      <w:r>
        <w:rPr>
          <w:rFonts w:hint="eastAsia" w:ascii="宋体" w:hAnsi="宋体"/>
          <w:color w:val="auto"/>
          <w:highlight w:val="none"/>
        </w:rPr>
        <w:tab/>
      </w:r>
      <w:r>
        <w:rPr>
          <w:rFonts w:hint="eastAsia" w:ascii="宋体" w:hAnsi="宋体"/>
          <w:color w:val="auto"/>
          <w:highlight w:val="none"/>
        </w:rPr>
        <w:t>《信息安全等级保护备案实施细则》（公信安[2007]1360号）</w:t>
      </w:r>
    </w:p>
    <w:p w14:paraId="30E26BFC">
      <w:pPr>
        <w:ind w:firstLine="480" w:firstLineChars="200"/>
        <w:rPr>
          <w:rFonts w:ascii="宋体" w:hAnsi="宋体"/>
          <w:color w:val="auto"/>
          <w:highlight w:val="none"/>
        </w:rPr>
      </w:pPr>
      <w:r>
        <w:rPr>
          <w:rFonts w:hint="eastAsia" w:ascii="宋体" w:hAnsi="宋体"/>
          <w:color w:val="auto"/>
          <w:highlight w:val="none"/>
        </w:rPr>
        <w:t>8)</w:t>
      </w:r>
      <w:r>
        <w:rPr>
          <w:rFonts w:hint="eastAsia" w:ascii="宋体" w:hAnsi="宋体"/>
          <w:color w:val="auto"/>
          <w:highlight w:val="none"/>
        </w:rPr>
        <w:tab/>
      </w:r>
      <w:r>
        <w:rPr>
          <w:rFonts w:hint="eastAsia" w:ascii="宋体" w:hAnsi="宋体"/>
          <w:color w:val="auto"/>
          <w:highlight w:val="none"/>
        </w:rPr>
        <w:t>《公安机关信息安全等级保护检查工作规范》（公信安[2008]736号）</w:t>
      </w:r>
    </w:p>
    <w:p w14:paraId="20A16029">
      <w:pPr>
        <w:ind w:firstLine="480" w:firstLineChars="200"/>
        <w:rPr>
          <w:rFonts w:ascii="宋体" w:hAnsi="宋体"/>
          <w:color w:val="auto"/>
          <w:highlight w:val="none"/>
        </w:rPr>
      </w:pPr>
      <w:r>
        <w:rPr>
          <w:rFonts w:hint="eastAsia" w:ascii="宋体" w:hAnsi="宋体"/>
          <w:color w:val="auto"/>
          <w:highlight w:val="none"/>
        </w:rPr>
        <w:t>9)</w:t>
      </w:r>
      <w:r>
        <w:rPr>
          <w:rFonts w:hint="eastAsia" w:ascii="宋体" w:hAnsi="宋体"/>
          <w:color w:val="auto"/>
          <w:highlight w:val="none"/>
        </w:rPr>
        <w:tab/>
      </w:r>
      <w:r>
        <w:rPr>
          <w:rFonts w:hint="eastAsia" w:ascii="宋体" w:hAnsi="宋体"/>
          <w:color w:val="auto"/>
          <w:highlight w:val="none"/>
        </w:rPr>
        <w:t>《关于开展信息安全等级保护安全建设整改工作的指导意见》（公信安[2009]1429号）</w:t>
      </w:r>
    </w:p>
    <w:p w14:paraId="1460AB2E">
      <w:pPr>
        <w:ind w:firstLine="480" w:firstLineChars="200"/>
        <w:rPr>
          <w:rFonts w:ascii="宋体" w:hAnsi="宋体"/>
          <w:color w:val="auto"/>
          <w:highlight w:val="none"/>
        </w:rPr>
      </w:pPr>
      <w:r>
        <w:rPr>
          <w:rFonts w:hint="eastAsia" w:ascii="宋体" w:hAnsi="宋体"/>
          <w:color w:val="auto"/>
          <w:highlight w:val="none"/>
        </w:rPr>
        <w:t>10)《卫生部办公厅关于全面开展卫生行业信息安全等级保护工作的通知》（卫办综函[2011]1126号）</w:t>
      </w:r>
    </w:p>
    <w:p w14:paraId="5CE5D7B2">
      <w:pPr>
        <w:ind w:firstLine="480" w:firstLineChars="200"/>
        <w:rPr>
          <w:rFonts w:ascii="宋体" w:hAnsi="宋体"/>
          <w:color w:val="auto"/>
          <w:highlight w:val="none"/>
        </w:rPr>
      </w:pPr>
      <w:r>
        <w:rPr>
          <w:rFonts w:hint="eastAsia" w:ascii="宋体" w:hAnsi="宋体"/>
          <w:color w:val="auto"/>
          <w:highlight w:val="none"/>
        </w:rPr>
        <w:t>11)《关于进一步开展交通运输行业信息安全等级保护工作的通知》（厅科技字[2012]120号）</w:t>
      </w:r>
    </w:p>
    <w:p w14:paraId="27AC5AEE">
      <w:pPr>
        <w:ind w:firstLine="480" w:firstLineChars="200"/>
        <w:rPr>
          <w:rFonts w:ascii="宋体" w:hAnsi="宋体"/>
          <w:color w:val="auto"/>
          <w:highlight w:val="none"/>
        </w:rPr>
      </w:pPr>
      <w:r>
        <w:rPr>
          <w:rFonts w:hint="eastAsia" w:ascii="宋体" w:hAnsi="宋体"/>
          <w:color w:val="auto"/>
          <w:highlight w:val="none"/>
        </w:rPr>
        <w:t>12)《中华人民共和国基本医疗卫生与健康促进法》</w:t>
      </w:r>
    </w:p>
    <w:p w14:paraId="48366A6B">
      <w:pPr>
        <w:pStyle w:val="8"/>
        <w:bidi w:val="0"/>
        <w:ind w:left="864" w:leftChars="0" w:hanging="864" w:firstLineChars="0"/>
      </w:pPr>
      <w:r>
        <w:t>相关标准及规范</w:t>
      </w:r>
    </w:p>
    <w:p w14:paraId="08FAF04A">
      <w:pPr>
        <w:ind w:firstLine="480" w:firstLineChars="200"/>
        <w:rPr>
          <w:rFonts w:ascii="宋体" w:hAnsi="宋体"/>
          <w:color w:val="auto"/>
          <w:highlight w:val="none"/>
        </w:rPr>
      </w:pPr>
      <w:r>
        <w:rPr>
          <w:rFonts w:hint="eastAsia" w:ascii="宋体" w:hAnsi="宋体"/>
          <w:color w:val="auto"/>
          <w:highlight w:val="none"/>
        </w:rPr>
        <w:t>1)</w:t>
      </w:r>
      <w:r>
        <w:rPr>
          <w:rFonts w:hint="eastAsia" w:ascii="宋体" w:hAnsi="宋体"/>
          <w:color w:val="auto"/>
          <w:highlight w:val="none"/>
        </w:rPr>
        <w:tab/>
      </w:r>
      <w:r>
        <w:rPr>
          <w:rFonts w:hint="eastAsia" w:ascii="宋体" w:hAnsi="宋体"/>
          <w:color w:val="auto"/>
          <w:highlight w:val="none"/>
        </w:rPr>
        <w:t>《计算机信息系统安全等级保护划分准则》（GB 17859-1999）</w:t>
      </w:r>
    </w:p>
    <w:p w14:paraId="2C5885E7">
      <w:pPr>
        <w:ind w:firstLine="480" w:firstLineChars="20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rPr>
        <w:tab/>
      </w:r>
      <w:r>
        <w:rPr>
          <w:rFonts w:hint="eastAsia" w:ascii="宋体" w:hAnsi="宋体"/>
          <w:color w:val="auto"/>
          <w:highlight w:val="none"/>
        </w:rPr>
        <w:t>《信息安全技术 信息系统物理安全技术要求》（GB/T 21052-2007）</w:t>
      </w:r>
    </w:p>
    <w:p w14:paraId="500B365A">
      <w:pPr>
        <w:ind w:firstLine="480" w:firstLineChars="200"/>
        <w:rPr>
          <w:rFonts w:ascii="宋体" w:hAnsi="宋体"/>
          <w:color w:val="auto"/>
          <w:highlight w:val="none"/>
        </w:rPr>
      </w:pPr>
      <w:r>
        <w:rPr>
          <w:rFonts w:hint="eastAsia" w:ascii="宋体" w:hAnsi="宋体"/>
          <w:color w:val="auto"/>
          <w:highlight w:val="none"/>
        </w:rPr>
        <w:t>3)</w:t>
      </w:r>
      <w:r>
        <w:rPr>
          <w:rFonts w:hint="eastAsia" w:ascii="宋体" w:hAnsi="宋体"/>
          <w:color w:val="auto"/>
          <w:highlight w:val="none"/>
        </w:rPr>
        <w:tab/>
      </w:r>
      <w:r>
        <w:rPr>
          <w:rFonts w:hint="eastAsia" w:ascii="宋体" w:hAnsi="宋体"/>
          <w:color w:val="auto"/>
          <w:highlight w:val="none"/>
        </w:rPr>
        <w:t>《信息安全技术 信息系统安全管理要求》（GB/T 20269-2006）</w:t>
      </w:r>
    </w:p>
    <w:p w14:paraId="25F1F104">
      <w:pPr>
        <w:ind w:firstLine="480" w:firstLineChars="200"/>
        <w:rPr>
          <w:rFonts w:ascii="宋体" w:hAnsi="宋体"/>
          <w:color w:val="auto"/>
          <w:highlight w:val="none"/>
        </w:rPr>
      </w:pPr>
      <w:r>
        <w:rPr>
          <w:rFonts w:hint="eastAsia" w:ascii="宋体" w:hAnsi="宋体"/>
          <w:color w:val="auto"/>
          <w:highlight w:val="none"/>
        </w:rPr>
        <w:t>4)</w:t>
      </w:r>
      <w:r>
        <w:rPr>
          <w:rFonts w:hint="eastAsia" w:ascii="宋体" w:hAnsi="宋体"/>
          <w:color w:val="auto"/>
          <w:highlight w:val="none"/>
        </w:rPr>
        <w:tab/>
      </w:r>
      <w:r>
        <w:rPr>
          <w:rFonts w:hint="eastAsia" w:ascii="宋体" w:hAnsi="宋体"/>
          <w:color w:val="auto"/>
          <w:highlight w:val="none"/>
        </w:rPr>
        <w:t>《信息安全技术 网络基础安全技术要求》（GB/T 20270-2006）</w:t>
      </w:r>
    </w:p>
    <w:p w14:paraId="69646CC7">
      <w:pPr>
        <w:ind w:firstLine="480" w:firstLineChars="200"/>
        <w:rPr>
          <w:rFonts w:ascii="宋体" w:hAnsi="宋体"/>
          <w:color w:val="auto"/>
          <w:highlight w:val="none"/>
        </w:rPr>
      </w:pPr>
      <w:r>
        <w:rPr>
          <w:rFonts w:hint="eastAsia" w:ascii="宋体" w:hAnsi="宋体"/>
          <w:color w:val="auto"/>
          <w:highlight w:val="none"/>
        </w:rPr>
        <w:t>5)</w:t>
      </w:r>
      <w:r>
        <w:rPr>
          <w:rFonts w:hint="eastAsia" w:ascii="宋体" w:hAnsi="宋体"/>
          <w:color w:val="auto"/>
          <w:highlight w:val="none"/>
        </w:rPr>
        <w:tab/>
      </w:r>
      <w:r>
        <w:rPr>
          <w:rFonts w:hint="eastAsia" w:ascii="宋体" w:hAnsi="宋体"/>
          <w:color w:val="auto"/>
          <w:highlight w:val="none"/>
        </w:rPr>
        <w:t>《信息安全技术 信息系统安全通用技术要求》（GB/T 20271-2006）</w:t>
      </w:r>
    </w:p>
    <w:p w14:paraId="751C4DC8">
      <w:pPr>
        <w:ind w:firstLine="480" w:firstLineChars="200"/>
        <w:rPr>
          <w:rFonts w:ascii="宋体" w:hAnsi="宋体"/>
          <w:color w:val="auto"/>
          <w:highlight w:val="none"/>
        </w:rPr>
      </w:pPr>
      <w:r>
        <w:rPr>
          <w:rFonts w:hint="eastAsia" w:ascii="宋体" w:hAnsi="宋体"/>
          <w:color w:val="auto"/>
          <w:highlight w:val="none"/>
        </w:rPr>
        <w:t>6)</w:t>
      </w:r>
      <w:r>
        <w:rPr>
          <w:rFonts w:hint="eastAsia" w:ascii="宋体" w:hAnsi="宋体"/>
          <w:color w:val="auto"/>
          <w:highlight w:val="none"/>
        </w:rPr>
        <w:tab/>
      </w:r>
      <w:r>
        <w:rPr>
          <w:rFonts w:hint="eastAsia" w:ascii="宋体" w:hAnsi="宋体"/>
          <w:color w:val="auto"/>
          <w:highlight w:val="none"/>
        </w:rPr>
        <w:t>《信息安全技术 信息系统安全等级保护体系框架》（GA/T 708-2007）</w:t>
      </w:r>
    </w:p>
    <w:p w14:paraId="657507A6">
      <w:pPr>
        <w:ind w:firstLine="480" w:firstLineChars="200"/>
        <w:rPr>
          <w:rFonts w:ascii="宋体" w:hAnsi="宋体"/>
          <w:color w:val="auto"/>
          <w:highlight w:val="none"/>
        </w:rPr>
      </w:pPr>
      <w:r>
        <w:rPr>
          <w:rFonts w:hint="eastAsia" w:ascii="宋体" w:hAnsi="宋体"/>
          <w:color w:val="auto"/>
          <w:highlight w:val="none"/>
        </w:rPr>
        <w:t>7)</w:t>
      </w:r>
      <w:r>
        <w:rPr>
          <w:rFonts w:hint="eastAsia" w:ascii="宋体" w:hAnsi="宋体"/>
          <w:color w:val="auto"/>
          <w:highlight w:val="none"/>
        </w:rPr>
        <w:tab/>
      </w:r>
      <w:r>
        <w:rPr>
          <w:rFonts w:hint="eastAsia" w:ascii="宋体" w:hAnsi="宋体"/>
          <w:color w:val="auto"/>
          <w:highlight w:val="none"/>
        </w:rPr>
        <w:t>《信息安全技术 信息系统安全等级保护基本模型》（GA/T 709-2007）</w:t>
      </w:r>
    </w:p>
    <w:p w14:paraId="1192E257">
      <w:pPr>
        <w:ind w:firstLine="480" w:firstLineChars="200"/>
        <w:rPr>
          <w:rFonts w:ascii="宋体" w:hAnsi="宋体"/>
          <w:color w:val="auto"/>
          <w:highlight w:val="none"/>
        </w:rPr>
      </w:pPr>
      <w:r>
        <w:rPr>
          <w:rFonts w:hint="eastAsia" w:ascii="宋体" w:hAnsi="宋体"/>
          <w:color w:val="auto"/>
          <w:highlight w:val="none"/>
        </w:rPr>
        <w:t>8)</w:t>
      </w:r>
      <w:r>
        <w:rPr>
          <w:rFonts w:hint="eastAsia" w:ascii="宋体" w:hAnsi="宋体"/>
          <w:color w:val="auto"/>
          <w:highlight w:val="none"/>
        </w:rPr>
        <w:tab/>
      </w:r>
      <w:r>
        <w:rPr>
          <w:rFonts w:hint="eastAsia" w:ascii="宋体" w:hAnsi="宋体"/>
          <w:color w:val="auto"/>
          <w:highlight w:val="none"/>
        </w:rPr>
        <w:t>《信息安全技术 信息安全风险评估规范》（GB/T 20984-2007）</w:t>
      </w:r>
    </w:p>
    <w:p w14:paraId="1844746D">
      <w:pPr>
        <w:ind w:firstLine="480" w:firstLineChars="200"/>
        <w:rPr>
          <w:rFonts w:ascii="宋体" w:hAnsi="宋体"/>
          <w:color w:val="auto"/>
          <w:highlight w:val="none"/>
        </w:rPr>
      </w:pPr>
      <w:r>
        <w:rPr>
          <w:rFonts w:hint="eastAsia" w:ascii="宋体" w:hAnsi="宋体"/>
          <w:color w:val="auto"/>
          <w:highlight w:val="none"/>
        </w:rPr>
        <w:t>9)</w:t>
      </w:r>
      <w:r>
        <w:rPr>
          <w:rFonts w:hint="eastAsia" w:ascii="宋体" w:hAnsi="宋体"/>
          <w:color w:val="auto"/>
          <w:highlight w:val="none"/>
        </w:rPr>
        <w:tab/>
      </w:r>
      <w:r>
        <w:rPr>
          <w:rFonts w:hint="eastAsia" w:ascii="宋体" w:hAnsi="宋体"/>
          <w:color w:val="auto"/>
          <w:highlight w:val="none"/>
        </w:rPr>
        <w:t>《信息安全技术 信息安全风险评估实施指南》（GB/T 31509-2015）</w:t>
      </w:r>
    </w:p>
    <w:p w14:paraId="6E89A3D8">
      <w:pPr>
        <w:ind w:firstLine="480" w:firstLineChars="200"/>
        <w:rPr>
          <w:rFonts w:ascii="宋体" w:hAnsi="宋体"/>
          <w:color w:val="auto"/>
          <w:highlight w:val="none"/>
        </w:rPr>
      </w:pPr>
      <w:r>
        <w:rPr>
          <w:rFonts w:hint="eastAsia" w:ascii="宋体" w:hAnsi="宋体"/>
          <w:color w:val="auto"/>
          <w:highlight w:val="none"/>
        </w:rPr>
        <w:t>10)《信息技术 安全技术 信息安全风险管理》（GB/T 31722-2015）</w:t>
      </w:r>
    </w:p>
    <w:p w14:paraId="3A055501">
      <w:pPr>
        <w:ind w:firstLine="480" w:firstLineChars="200"/>
        <w:rPr>
          <w:rFonts w:ascii="宋体" w:hAnsi="宋体"/>
          <w:color w:val="auto"/>
          <w:highlight w:val="none"/>
        </w:rPr>
      </w:pPr>
      <w:r>
        <w:rPr>
          <w:rFonts w:hint="eastAsia" w:ascii="宋体" w:hAnsi="宋体"/>
          <w:color w:val="auto"/>
          <w:highlight w:val="none"/>
        </w:rPr>
        <w:t>11)《信息安全技术 信息安全风险处理实施指南》（GB/T 33132-2016）</w:t>
      </w:r>
    </w:p>
    <w:p w14:paraId="28DC52CB">
      <w:pPr>
        <w:ind w:firstLine="480" w:firstLineChars="200"/>
        <w:rPr>
          <w:rFonts w:ascii="宋体" w:hAnsi="宋体"/>
          <w:color w:val="auto"/>
          <w:highlight w:val="none"/>
        </w:rPr>
      </w:pPr>
      <w:r>
        <w:rPr>
          <w:rFonts w:hint="eastAsia" w:ascii="宋体" w:hAnsi="宋体"/>
          <w:color w:val="auto"/>
          <w:highlight w:val="none"/>
        </w:rPr>
        <w:t>12)《信息安全技术 网络安全等级保护定级指南》（GB/T 22240-2020）</w:t>
      </w:r>
    </w:p>
    <w:p w14:paraId="6C790233">
      <w:pPr>
        <w:ind w:firstLine="480" w:firstLineChars="200"/>
        <w:rPr>
          <w:rFonts w:ascii="宋体" w:hAnsi="宋体"/>
          <w:color w:val="auto"/>
          <w:highlight w:val="none"/>
        </w:rPr>
      </w:pPr>
      <w:r>
        <w:rPr>
          <w:rFonts w:hint="eastAsia" w:ascii="宋体" w:hAnsi="宋体"/>
          <w:color w:val="auto"/>
          <w:highlight w:val="none"/>
        </w:rPr>
        <w:t>13)《信息安全技术 信息系统安全等级保护实施指南》（GB/T 25058-2019）</w:t>
      </w:r>
    </w:p>
    <w:p w14:paraId="7C5ED086">
      <w:pPr>
        <w:ind w:firstLine="480" w:firstLineChars="200"/>
        <w:rPr>
          <w:rFonts w:ascii="宋体" w:hAnsi="宋体"/>
          <w:color w:val="auto"/>
          <w:highlight w:val="none"/>
        </w:rPr>
      </w:pPr>
      <w:r>
        <w:rPr>
          <w:rFonts w:hint="eastAsia" w:ascii="宋体" w:hAnsi="宋体"/>
          <w:color w:val="auto"/>
          <w:highlight w:val="none"/>
        </w:rPr>
        <w:t>14)《信息技术 安全技术 信息安全管理体系 要求》（GB/T 22080-2016）</w:t>
      </w:r>
    </w:p>
    <w:p w14:paraId="42407339">
      <w:pPr>
        <w:ind w:firstLine="480" w:firstLineChars="200"/>
        <w:rPr>
          <w:rFonts w:ascii="宋体" w:hAnsi="宋体"/>
          <w:color w:val="auto"/>
          <w:highlight w:val="none"/>
        </w:rPr>
      </w:pPr>
      <w:r>
        <w:rPr>
          <w:rFonts w:hint="eastAsia" w:ascii="宋体" w:hAnsi="宋体"/>
          <w:color w:val="auto"/>
          <w:highlight w:val="none"/>
        </w:rPr>
        <w:t>15)《数据中心设计规范》（GB 50174-2017）</w:t>
      </w:r>
    </w:p>
    <w:p w14:paraId="758CED81">
      <w:pPr>
        <w:ind w:firstLine="480" w:firstLineChars="200"/>
        <w:rPr>
          <w:rFonts w:ascii="宋体" w:hAnsi="宋体"/>
          <w:color w:val="auto"/>
          <w:highlight w:val="none"/>
        </w:rPr>
      </w:pPr>
      <w:r>
        <w:rPr>
          <w:rFonts w:hint="eastAsia" w:ascii="宋体" w:hAnsi="宋体"/>
          <w:color w:val="auto"/>
          <w:highlight w:val="none"/>
        </w:rPr>
        <w:t>16)《信息安全技术 网络安全等级保护测评过程指南》（GB/T 28449-2018）</w:t>
      </w:r>
    </w:p>
    <w:p w14:paraId="75D07EA9">
      <w:pPr>
        <w:ind w:firstLine="480" w:firstLineChars="200"/>
        <w:rPr>
          <w:rFonts w:ascii="宋体" w:hAnsi="宋体"/>
          <w:color w:val="auto"/>
          <w:highlight w:val="none"/>
        </w:rPr>
      </w:pPr>
      <w:r>
        <w:rPr>
          <w:rFonts w:hint="eastAsia" w:ascii="宋体" w:hAnsi="宋体"/>
          <w:color w:val="auto"/>
          <w:highlight w:val="none"/>
        </w:rPr>
        <w:t>17)《信息安全技术 网络安全等级保护测试评估技术指南》(GB/T 36627-2018)</w:t>
      </w:r>
    </w:p>
    <w:p w14:paraId="0B194CA3">
      <w:pPr>
        <w:ind w:firstLine="480" w:firstLineChars="200"/>
        <w:rPr>
          <w:rFonts w:ascii="宋体" w:hAnsi="宋体"/>
          <w:color w:val="auto"/>
          <w:highlight w:val="none"/>
        </w:rPr>
      </w:pPr>
      <w:r>
        <w:rPr>
          <w:rFonts w:hint="eastAsia" w:ascii="宋体" w:hAnsi="宋体"/>
          <w:color w:val="auto"/>
          <w:highlight w:val="none"/>
        </w:rPr>
        <w:t>18)《信息安全技术 网络安全等级保护安全管理中心技术要求》（GB/T 36958-2018）</w:t>
      </w:r>
    </w:p>
    <w:p w14:paraId="289276C6">
      <w:pPr>
        <w:ind w:firstLine="480" w:firstLineChars="200"/>
        <w:rPr>
          <w:rFonts w:ascii="宋体" w:hAnsi="宋体"/>
          <w:color w:val="auto"/>
          <w:highlight w:val="none"/>
        </w:rPr>
      </w:pPr>
      <w:r>
        <w:rPr>
          <w:rFonts w:hint="eastAsia" w:ascii="宋体" w:hAnsi="宋体"/>
          <w:color w:val="auto"/>
          <w:highlight w:val="none"/>
        </w:rPr>
        <w:t>19)《信息安全技术 网络安全等级保护基本要求》（GB/T 22239-2019）</w:t>
      </w:r>
    </w:p>
    <w:p w14:paraId="772408B1">
      <w:pPr>
        <w:ind w:firstLine="480" w:firstLineChars="200"/>
        <w:rPr>
          <w:rFonts w:ascii="宋体" w:hAnsi="宋体"/>
          <w:color w:val="auto"/>
          <w:highlight w:val="none"/>
        </w:rPr>
      </w:pPr>
      <w:r>
        <w:rPr>
          <w:rFonts w:hint="eastAsia" w:ascii="宋体" w:hAnsi="宋体"/>
          <w:color w:val="auto"/>
          <w:highlight w:val="none"/>
        </w:rPr>
        <w:t>20)《信息安全技术 网络安全等级保护安全设计技术要求》（GB/T 25070-2019）</w:t>
      </w:r>
    </w:p>
    <w:p w14:paraId="4BB264AF">
      <w:pPr>
        <w:ind w:firstLine="480" w:firstLineChars="200"/>
        <w:rPr>
          <w:rFonts w:ascii="宋体" w:hAnsi="宋体"/>
          <w:color w:val="auto"/>
          <w:highlight w:val="none"/>
        </w:rPr>
      </w:pPr>
      <w:r>
        <w:rPr>
          <w:rFonts w:hint="eastAsia" w:ascii="宋体" w:hAnsi="宋体"/>
          <w:color w:val="auto"/>
          <w:highlight w:val="none"/>
        </w:rPr>
        <w:t>21)《信息安全技术 网络安全等级保护测评要求》（GB/T 28448-2019）</w:t>
      </w:r>
    </w:p>
    <w:p w14:paraId="24ACE60A">
      <w:pPr>
        <w:ind w:firstLine="480" w:firstLineChars="200"/>
        <w:rPr>
          <w:rFonts w:ascii="宋体" w:hAnsi="宋体"/>
          <w:color w:val="auto"/>
          <w:highlight w:val="none"/>
        </w:rPr>
      </w:pPr>
      <w:r>
        <w:rPr>
          <w:rFonts w:hint="eastAsia" w:ascii="宋体" w:hAnsi="宋体"/>
          <w:color w:val="auto"/>
          <w:highlight w:val="none"/>
        </w:rPr>
        <w:t>22)《信息安全管理体系要求》（ISO/IEC 27001-2013）</w:t>
      </w:r>
    </w:p>
    <w:p w14:paraId="68891DBE">
      <w:pPr>
        <w:pStyle w:val="3"/>
        <w:bidi w:val="0"/>
        <w:ind w:left="575" w:leftChars="0" w:hanging="575" w:firstLineChars="0"/>
      </w:pPr>
      <w:r>
        <w:rPr>
          <w:rFonts w:hint="eastAsia"/>
        </w:rPr>
        <w:t>设计概述</w:t>
      </w:r>
    </w:p>
    <w:p w14:paraId="779C3F98">
      <w:pPr>
        <w:pStyle w:val="5"/>
        <w:bidi w:val="0"/>
        <w:ind w:left="720" w:leftChars="0" w:hanging="720" w:firstLineChars="0"/>
      </w:pPr>
      <w:bookmarkStart w:id="42" w:name="_Toc23453"/>
      <w:r>
        <w:rPr>
          <w:rFonts w:hint="eastAsia"/>
        </w:rPr>
        <w:t>基于等保的体系设计</w:t>
      </w:r>
      <w:bookmarkEnd w:id="42"/>
    </w:p>
    <w:p w14:paraId="3A62D586">
      <w:pPr>
        <w:ind w:firstLine="480" w:firstLineChars="200"/>
        <w:rPr>
          <w:rFonts w:ascii="宋体" w:hAnsi="宋体"/>
          <w:color w:val="auto"/>
          <w:highlight w:val="none"/>
        </w:rPr>
      </w:pPr>
      <w:r>
        <w:rPr>
          <w:rFonts w:hint="eastAsia" w:ascii="宋体" w:hAnsi="宋体"/>
          <w:color w:val="auto"/>
          <w:highlight w:val="none"/>
        </w:rPr>
        <w:t>等级保护安全框架如下所示（摘自《信息安全技术 网络安全等级保护基本要求》（GB/T 22239-2019））：</w:t>
      </w:r>
    </w:p>
    <w:p w14:paraId="7B09C75C">
      <w:pPr>
        <w:pStyle w:val="18"/>
        <w:ind w:firstLine="0" w:firstLineChars="0"/>
        <w:rPr>
          <w:rFonts w:ascii="宋体" w:hAnsi="宋体" w:eastAsia="宋体"/>
          <w:color w:val="auto"/>
          <w:sz w:val="24"/>
          <w:highlight w:val="none"/>
        </w:rPr>
      </w:pPr>
      <w:r>
        <w:rPr>
          <w:color w:val="auto"/>
          <w:highlight w:val="none"/>
        </w:rPr>
        <w:drawing>
          <wp:inline distT="0" distB="0" distL="0" distR="0">
            <wp:extent cx="5274310" cy="3132455"/>
            <wp:effectExtent l="0" t="0" r="2540" b="1079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9"/>
                    <a:stretch>
                      <a:fillRect/>
                    </a:stretch>
                  </pic:blipFill>
                  <pic:spPr>
                    <a:xfrm>
                      <a:off x="0" y="0"/>
                      <a:ext cx="5274310" cy="3132455"/>
                    </a:xfrm>
                    <a:prstGeom prst="rect">
                      <a:avLst/>
                    </a:prstGeom>
                  </pic:spPr>
                </pic:pic>
              </a:graphicData>
            </a:graphic>
          </wp:inline>
        </w:drawing>
      </w:r>
    </w:p>
    <w:p w14:paraId="23754F93">
      <w:pPr>
        <w:ind w:firstLine="480" w:firstLineChars="200"/>
        <w:rPr>
          <w:rFonts w:ascii="宋体" w:hAnsi="宋体"/>
          <w:color w:val="auto"/>
          <w:highlight w:val="none"/>
        </w:rPr>
      </w:pPr>
      <w:r>
        <w:rPr>
          <w:rFonts w:hint="eastAsia" w:ascii="宋体" w:hAnsi="宋体"/>
          <w:color w:val="auto"/>
          <w:highlight w:val="none"/>
        </w:rPr>
        <w:t>根据国家及医疗行业的相关政策、标准等文件要求，结合用户业务安全需求，对此次建设中各个保护对象进行区域划分和定级，对不同的保护对象从安全通信网络、安全区域边界、安全计算环境等各方面进行安全能力构建（安全物理环境涉及机房改造，在本方案中不予赘述）。并将管理能力集中于安全管理中心，实现全网统一管理、统一审计、统一监测。构建 “一个中心、三重防护”，实现全网纵深防护与全面防护。网络安全等级保护技术框架如下：</w:t>
      </w:r>
    </w:p>
    <w:tbl>
      <w:tblPr>
        <w:tblStyle w:val="15"/>
        <w:tblW w:w="8217" w:type="dxa"/>
        <w:tblInd w:w="0" w:type="dxa"/>
        <w:tblLayout w:type="autofit"/>
        <w:tblCellMar>
          <w:top w:w="0" w:type="dxa"/>
          <w:left w:w="0" w:type="dxa"/>
          <w:bottom w:w="0" w:type="dxa"/>
          <w:right w:w="0" w:type="dxa"/>
        </w:tblCellMar>
      </w:tblPr>
      <w:tblGrid>
        <w:gridCol w:w="2263"/>
        <w:gridCol w:w="5954"/>
      </w:tblGrid>
      <w:tr w14:paraId="1B3BF8B1">
        <w:tblPrEx>
          <w:tblCellMar>
            <w:top w:w="0" w:type="dxa"/>
            <w:left w:w="0" w:type="dxa"/>
            <w:bottom w:w="0" w:type="dxa"/>
            <w:right w:w="0" w:type="dxa"/>
          </w:tblCellMar>
        </w:tblPrEx>
        <w:trPr>
          <w:trHeight w:val="280" w:hRule="atLeast"/>
          <w:tblHeader/>
        </w:trPr>
        <w:tc>
          <w:tcPr>
            <w:tcW w:w="2263"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466C1B71">
            <w:pPr>
              <w:pStyle w:val="18"/>
              <w:ind w:firstLine="0" w:firstLineChars="0"/>
              <w:jc w:val="center"/>
              <w:rPr>
                <w:rFonts w:ascii="宋体" w:hAnsi="宋体" w:eastAsia="宋体"/>
                <w:b/>
                <w:color w:val="auto"/>
                <w:sz w:val="24"/>
                <w:highlight w:val="none"/>
              </w:rPr>
            </w:pPr>
            <w:r>
              <w:rPr>
                <w:rFonts w:hint="eastAsia" w:ascii="宋体" w:hAnsi="宋体" w:eastAsia="宋体"/>
                <w:b/>
                <w:color w:val="auto"/>
                <w:sz w:val="24"/>
                <w:highlight w:val="none"/>
              </w:rPr>
              <w:t>类别</w:t>
            </w: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52943640">
            <w:pPr>
              <w:pStyle w:val="18"/>
              <w:ind w:firstLine="0" w:firstLineChars="0"/>
              <w:jc w:val="center"/>
              <w:rPr>
                <w:rFonts w:ascii="宋体" w:hAnsi="宋体" w:eastAsia="宋体"/>
                <w:b/>
                <w:color w:val="auto"/>
                <w:sz w:val="24"/>
                <w:highlight w:val="none"/>
              </w:rPr>
            </w:pPr>
            <w:r>
              <w:rPr>
                <w:rFonts w:hint="eastAsia" w:ascii="宋体" w:hAnsi="宋体" w:eastAsia="宋体"/>
                <w:b/>
                <w:color w:val="auto"/>
                <w:sz w:val="24"/>
                <w:highlight w:val="none"/>
              </w:rPr>
              <w:t>功能要求</w:t>
            </w:r>
          </w:p>
        </w:tc>
      </w:tr>
      <w:tr w14:paraId="1C3069F5">
        <w:tblPrEx>
          <w:tblCellMar>
            <w:top w:w="0" w:type="dxa"/>
            <w:left w:w="0" w:type="dxa"/>
            <w:bottom w:w="0" w:type="dxa"/>
            <w:right w:w="0" w:type="dxa"/>
          </w:tblCellMar>
        </w:tblPrEx>
        <w:trPr>
          <w:trHeight w:val="280" w:hRule="atLeast"/>
        </w:trPr>
        <w:tc>
          <w:tcPr>
            <w:tcW w:w="2263" w:type="dxa"/>
            <w:vMerge w:val="restart"/>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3A94A59D">
            <w:pPr>
              <w:pStyle w:val="18"/>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安全计算环境</w:t>
            </w: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3137C63F">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用户身份鉴别</w:t>
            </w:r>
          </w:p>
        </w:tc>
      </w:tr>
      <w:tr w14:paraId="6F073E77">
        <w:tblPrEx>
          <w:tblCellMar>
            <w:top w:w="0" w:type="dxa"/>
            <w:left w:w="0" w:type="dxa"/>
            <w:bottom w:w="0" w:type="dxa"/>
            <w:right w:w="0" w:type="dxa"/>
          </w:tblCellMar>
        </w:tblPrEx>
        <w:trPr>
          <w:trHeight w:val="293"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5A82E412">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5B527B70">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自主访问控制</w:t>
            </w:r>
          </w:p>
        </w:tc>
      </w:tr>
      <w:tr w14:paraId="38492EB0">
        <w:tblPrEx>
          <w:tblCellMar>
            <w:top w:w="0" w:type="dxa"/>
            <w:left w:w="0" w:type="dxa"/>
            <w:bottom w:w="0" w:type="dxa"/>
            <w:right w:w="0" w:type="dxa"/>
          </w:tblCellMar>
        </w:tblPrEx>
        <w:trPr>
          <w:trHeight w:val="293"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4ADC1924">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5EFC0B9D">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标记与强制访问控制</w:t>
            </w:r>
          </w:p>
        </w:tc>
      </w:tr>
      <w:tr w14:paraId="7B7689F9">
        <w:tblPrEx>
          <w:tblCellMar>
            <w:top w:w="0" w:type="dxa"/>
            <w:left w:w="0" w:type="dxa"/>
            <w:bottom w:w="0" w:type="dxa"/>
            <w:right w:w="0" w:type="dxa"/>
          </w:tblCellMar>
        </w:tblPrEx>
        <w:trPr>
          <w:trHeight w:val="293"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0B5E7EB7">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274A9022">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系统安全审计</w:t>
            </w:r>
          </w:p>
        </w:tc>
      </w:tr>
      <w:tr w14:paraId="26249368">
        <w:tblPrEx>
          <w:tblCellMar>
            <w:top w:w="0" w:type="dxa"/>
            <w:left w:w="0" w:type="dxa"/>
            <w:bottom w:w="0" w:type="dxa"/>
            <w:right w:w="0" w:type="dxa"/>
          </w:tblCellMar>
        </w:tblPrEx>
        <w:trPr>
          <w:trHeight w:val="293"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08B94057">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15480398">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用户数据完整性保护</w:t>
            </w:r>
          </w:p>
        </w:tc>
      </w:tr>
      <w:tr w14:paraId="7C30FAE0">
        <w:tblPrEx>
          <w:tblCellMar>
            <w:top w:w="0" w:type="dxa"/>
            <w:left w:w="0" w:type="dxa"/>
            <w:bottom w:w="0" w:type="dxa"/>
            <w:right w:w="0" w:type="dxa"/>
          </w:tblCellMar>
        </w:tblPrEx>
        <w:trPr>
          <w:trHeight w:val="293"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72F55464">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0B2B935C">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用户数据保密性保护</w:t>
            </w:r>
          </w:p>
        </w:tc>
      </w:tr>
      <w:tr w14:paraId="7CA29035">
        <w:tblPrEx>
          <w:tblCellMar>
            <w:top w:w="0" w:type="dxa"/>
            <w:left w:w="0" w:type="dxa"/>
            <w:bottom w:w="0" w:type="dxa"/>
            <w:right w:w="0" w:type="dxa"/>
          </w:tblCellMar>
        </w:tblPrEx>
        <w:trPr>
          <w:trHeight w:val="315"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26569DF3">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3374A0F3">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数据备份与恢复</w:t>
            </w:r>
          </w:p>
        </w:tc>
      </w:tr>
      <w:tr w14:paraId="1480F95D">
        <w:tblPrEx>
          <w:tblCellMar>
            <w:top w:w="0" w:type="dxa"/>
            <w:left w:w="0" w:type="dxa"/>
            <w:bottom w:w="0" w:type="dxa"/>
            <w:right w:w="0" w:type="dxa"/>
          </w:tblCellMar>
        </w:tblPrEx>
        <w:trPr>
          <w:trHeight w:val="344"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692524FD">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5EC1F39C">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系统可执行程序保护</w:t>
            </w:r>
          </w:p>
        </w:tc>
      </w:tr>
      <w:tr w14:paraId="60D10ECB">
        <w:tblPrEx>
          <w:tblCellMar>
            <w:top w:w="0" w:type="dxa"/>
            <w:left w:w="0" w:type="dxa"/>
            <w:bottom w:w="0" w:type="dxa"/>
            <w:right w:w="0" w:type="dxa"/>
          </w:tblCellMar>
        </w:tblPrEx>
        <w:trPr>
          <w:trHeight w:val="370" w:hRule="atLeast"/>
        </w:trPr>
        <w:tc>
          <w:tcPr>
            <w:tcW w:w="2263" w:type="dxa"/>
            <w:vMerge w:val="restart"/>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14D21ED5">
            <w:pPr>
              <w:pStyle w:val="18"/>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安全区域边界</w:t>
            </w: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068956AF">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区域边界访问控制</w:t>
            </w:r>
          </w:p>
        </w:tc>
      </w:tr>
      <w:tr w14:paraId="5BCE754B">
        <w:tblPrEx>
          <w:tblCellMar>
            <w:top w:w="0" w:type="dxa"/>
            <w:left w:w="0" w:type="dxa"/>
            <w:bottom w:w="0" w:type="dxa"/>
            <w:right w:w="0" w:type="dxa"/>
          </w:tblCellMar>
        </w:tblPrEx>
        <w:trPr>
          <w:trHeight w:val="37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0A49454C">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385CAA57">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区域边界协议过滤</w:t>
            </w:r>
          </w:p>
        </w:tc>
      </w:tr>
      <w:tr w14:paraId="664DFA3F">
        <w:tblPrEx>
          <w:tblCellMar>
            <w:top w:w="0" w:type="dxa"/>
            <w:left w:w="0" w:type="dxa"/>
            <w:bottom w:w="0" w:type="dxa"/>
            <w:right w:w="0" w:type="dxa"/>
          </w:tblCellMar>
        </w:tblPrEx>
        <w:trPr>
          <w:trHeight w:val="37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377212BB">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72AA0812">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区域边界安全审计</w:t>
            </w:r>
          </w:p>
        </w:tc>
      </w:tr>
      <w:tr w14:paraId="11676E0E">
        <w:tblPrEx>
          <w:tblCellMar>
            <w:top w:w="0" w:type="dxa"/>
            <w:left w:w="0" w:type="dxa"/>
            <w:bottom w:w="0" w:type="dxa"/>
            <w:right w:w="0" w:type="dxa"/>
          </w:tblCellMar>
        </w:tblPrEx>
        <w:trPr>
          <w:trHeight w:val="387"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4366AE99">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76E14552">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区域边界完整性保护</w:t>
            </w:r>
          </w:p>
        </w:tc>
      </w:tr>
      <w:tr w14:paraId="361C49B0">
        <w:tblPrEx>
          <w:tblCellMar>
            <w:top w:w="0" w:type="dxa"/>
            <w:left w:w="0" w:type="dxa"/>
            <w:bottom w:w="0" w:type="dxa"/>
            <w:right w:w="0" w:type="dxa"/>
          </w:tblCellMar>
        </w:tblPrEx>
        <w:trPr>
          <w:trHeight w:val="280" w:hRule="atLeast"/>
        </w:trPr>
        <w:tc>
          <w:tcPr>
            <w:tcW w:w="2263" w:type="dxa"/>
            <w:vMerge w:val="restart"/>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1B44116F">
            <w:pPr>
              <w:pStyle w:val="18"/>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安全通信网络</w:t>
            </w: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2C1B5609">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网络安全审计</w:t>
            </w:r>
          </w:p>
        </w:tc>
      </w:tr>
      <w:tr w14:paraId="6C69F334">
        <w:tblPrEx>
          <w:tblCellMar>
            <w:top w:w="0" w:type="dxa"/>
            <w:left w:w="0" w:type="dxa"/>
            <w:bottom w:w="0" w:type="dxa"/>
            <w:right w:w="0" w:type="dxa"/>
          </w:tblCellMar>
        </w:tblPrEx>
        <w:trPr>
          <w:trHeight w:val="28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0CB268CD">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20358D06">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网络数据传输完整性保护</w:t>
            </w:r>
          </w:p>
        </w:tc>
      </w:tr>
      <w:tr w14:paraId="174025D4">
        <w:tblPrEx>
          <w:tblCellMar>
            <w:top w:w="0" w:type="dxa"/>
            <w:left w:w="0" w:type="dxa"/>
            <w:bottom w:w="0" w:type="dxa"/>
            <w:right w:w="0" w:type="dxa"/>
          </w:tblCellMar>
        </w:tblPrEx>
        <w:trPr>
          <w:trHeight w:val="28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78EB95DD">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7B80BC6E">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网络数据传输保密性保护</w:t>
            </w:r>
          </w:p>
        </w:tc>
      </w:tr>
      <w:tr w14:paraId="21FC5B06">
        <w:tblPrEx>
          <w:tblCellMar>
            <w:top w:w="0" w:type="dxa"/>
            <w:left w:w="0" w:type="dxa"/>
            <w:bottom w:w="0" w:type="dxa"/>
            <w:right w:w="0" w:type="dxa"/>
          </w:tblCellMar>
        </w:tblPrEx>
        <w:trPr>
          <w:trHeight w:val="28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661E9FE7">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1923CA5A">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网络可信接入</w:t>
            </w:r>
          </w:p>
        </w:tc>
      </w:tr>
      <w:tr w14:paraId="536FA4EC">
        <w:tblPrEx>
          <w:tblCellMar>
            <w:top w:w="0" w:type="dxa"/>
            <w:left w:w="0" w:type="dxa"/>
            <w:bottom w:w="0" w:type="dxa"/>
            <w:right w:w="0" w:type="dxa"/>
          </w:tblCellMar>
        </w:tblPrEx>
        <w:trPr>
          <w:trHeight w:val="280" w:hRule="atLeast"/>
        </w:trPr>
        <w:tc>
          <w:tcPr>
            <w:tcW w:w="2263" w:type="dxa"/>
            <w:vMerge w:val="restart"/>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00BC481E">
            <w:pPr>
              <w:pStyle w:val="18"/>
              <w:ind w:firstLine="0" w:firstLineChars="0"/>
              <w:jc w:val="center"/>
              <w:rPr>
                <w:rFonts w:ascii="宋体" w:hAnsi="宋体" w:eastAsia="宋体"/>
                <w:color w:val="auto"/>
                <w:sz w:val="24"/>
                <w:highlight w:val="none"/>
              </w:rPr>
            </w:pPr>
            <w:r>
              <w:rPr>
                <w:rFonts w:hint="eastAsia" w:ascii="宋体" w:hAnsi="宋体" w:eastAsia="宋体"/>
                <w:color w:val="auto"/>
                <w:sz w:val="24"/>
                <w:highlight w:val="none"/>
              </w:rPr>
              <w:t>安全管理中心</w:t>
            </w: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61E5BC46">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系统管理</w:t>
            </w:r>
          </w:p>
        </w:tc>
      </w:tr>
      <w:tr w14:paraId="4DDAFA89">
        <w:tblPrEx>
          <w:tblCellMar>
            <w:top w:w="0" w:type="dxa"/>
            <w:left w:w="0" w:type="dxa"/>
            <w:bottom w:w="0" w:type="dxa"/>
            <w:right w:w="0" w:type="dxa"/>
          </w:tblCellMar>
        </w:tblPrEx>
        <w:trPr>
          <w:trHeight w:val="28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2CE8D8EA">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25AF4D04">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安全管理</w:t>
            </w:r>
          </w:p>
        </w:tc>
      </w:tr>
      <w:tr w14:paraId="72A23CE1">
        <w:tblPrEx>
          <w:tblCellMar>
            <w:top w:w="0" w:type="dxa"/>
            <w:left w:w="0" w:type="dxa"/>
            <w:bottom w:w="0" w:type="dxa"/>
            <w:right w:w="0" w:type="dxa"/>
          </w:tblCellMar>
        </w:tblPrEx>
        <w:trPr>
          <w:trHeight w:val="360" w:hRule="atLeast"/>
        </w:trPr>
        <w:tc>
          <w:tcPr>
            <w:tcW w:w="2263" w:type="dxa"/>
            <w:vMerge w:val="continue"/>
            <w:tcBorders>
              <w:top w:val="single" w:color="262626" w:sz="4" w:space="0"/>
              <w:left w:val="single" w:color="262626" w:sz="4" w:space="0"/>
              <w:bottom w:val="single" w:color="262626" w:sz="4" w:space="0"/>
              <w:right w:val="single" w:color="262626" w:sz="4" w:space="0"/>
            </w:tcBorders>
            <w:vAlign w:val="center"/>
          </w:tcPr>
          <w:p w14:paraId="76474A82">
            <w:pPr>
              <w:pStyle w:val="18"/>
              <w:ind w:firstLine="0" w:firstLineChars="0"/>
              <w:jc w:val="center"/>
              <w:rPr>
                <w:rFonts w:ascii="宋体" w:hAnsi="宋体" w:eastAsia="宋体"/>
                <w:color w:val="auto"/>
                <w:sz w:val="24"/>
                <w:highlight w:val="none"/>
              </w:rPr>
            </w:pPr>
          </w:p>
        </w:tc>
        <w:tc>
          <w:tcPr>
            <w:tcW w:w="5954" w:type="dxa"/>
            <w:tcBorders>
              <w:top w:val="single" w:color="262626" w:sz="4" w:space="0"/>
              <w:left w:val="single" w:color="262626" w:sz="4" w:space="0"/>
              <w:bottom w:val="single" w:color="262626" w:sz="4" w:space="0"/>
              <w:right w:val="single" w:color="262626" w:sz="4" w:space="0"/>
            </w:tcBorders>
            <w:shd w:val="clear" w:color="auto" w:fill="auto"/>
            <w:tcMar>
              <w:top w:w="5" w:type="dxa"/>
              <w:left w:w="5" w:type="dxa"/>
              <w:bottom w:w="51" w:type="dxa"/>
              <w:right w:w="5" w:type="dxa"/>
            </w:tcMar>
            <w:vAlign w:val="center"/>
          </w:tcPr>
          <w:p w14:paraId="7085E46C">
            <w:pPr>
              <w:pStyle w:val="18"/>
              <w:ind w:firstLine="0" w:firstLineChars="0"/>
              <w:jc w:val="left"/>
              <w:rPr>
                <w:rFonts w:ascii="宋体" w:hAnsi="宋体" w:eastAsia="宋体"/>
                <w:color w:val="auto"/>
                <w:sz w:val="24"/>
                <w:highlight w:val="none"/>
              </w:rPr>
            </w:pPr>
            <w:r>
              <w:rPr>
                <w:rFonts w:hint="eastAsia" w:ascii="宋体" w:hAnsi="宋体" w:eastAsia="宋体"/>
                <w:color w:val="auto"/>
                <w:sz w:val="24"/>
                <w:highlight w:val="none"/>
              </w:rPr>
              <w:t>审计管理</w:t>
            </w:r>
          </w:p>
        </w:tc>
      </w:tr>
    </w:tbl>
    <w:p w14:paraId="338A6D69">
      <w:pPr>
        <w:pStyle w:val="8"/>
        <w:bidi w:val="0"/>
        <w:ind w:left="864" w:leftChars="0" w:hanging="864" w:firstLineChars="0"/>
      </w:pPr>
      <w:bookmarkStart w:id="43" w:name="_Toc12720"/>
      <w:r>
        <w:rPr>
          <w:rFonts w:hint="eastAsia"/>
        </w:rPr>
        <w:t>安全通信网络</w:t>
      </w:r>
      <w:bookmarkEnd w:id="43"/>
    </w:p>
    <w:p w14:paraId="34065ADF">
      <w:pPr>
        <w:ind w:firstLine="480" w:firstLineChars="200"/>
        <w:rPr>
          <w:rFonts w:ascii="宋体" w:hAnsi="宋体"/>
          <w:color w:val="auto"/>
          <w:highlight w:val="none"/>
        </w:rPr>
      </w:pPr>
      <w:r>
        <w:rPr>
          <w:rFonts w:hint="eastAsia" w:ascii="宋体" w:hAnsi="宋体"/>
          <w:color w:val="auto"/>
          <w:highlight w:val="none"/>
        </w:rPr>
        <w:t>方案中针对安全通信网络的设计，主要参考网络架构、通信传输相关技术要求。在实际建设中综合考虑网络架构、通信传输</w:t>
      </w:r>
      <w:r>
        <w:rPr>
          <w:rFonts w:hint="eastAsia" w:ascii="宋体" w:hAnsi="宋体"/>
          <w:color w:val="auto"/>
          <w:highlight w:val="none"/>
          <w:lang w:val="en-US"/>
        </w:rPr>
        <w:t>等</w:t>
      </w:r>
      <w:r>
        <w:rPr>
          <w:rFonts w:hint="eastAsia" w:ascii="宋体" w:hAnsi="宋体"/>
          <w:color w:val="auto"/>
          <w:highlight w:val="none"/>
        </w:rPr>
        <w:t>方面。其面向对象是整个医院业务网络与业务平台，使得网络架构和通信传输网的建设需要达到符合业务高峰期的要求，主要链路冗余部署。同时为了提高网络的安全性和可靠性，在规划网络安全建设的时候采用安全域的概念进行规划，一旦某个区域出现问题，可以采用隔离手段，限制损害的扩散，将威胁降到最低程度。</w:t>
      </w:r>
    </w:p>
    <w:p w14:paraId="6664FC22">
      <w:pPr>
        <w:pStyle w:val="8"/>
        <w:bidi w:val="0"/>
        <w:ind w:left="864" w:leftChars="0" w:hanging="864" w:firstLineChars="0"/>
        <w:rPr>
          <w:rFonts w:hint="eastAsia"/>
        </w:rPr>
      </w:pPr>
      <w:r>
        <w:rPr>
          <w:rFonts w:hint="eastAsia"/>
        </w:rPr>
        <w:t>安全区域边界</w:t>
      </w:r>
    </w:p>
    <w:p w14:paraId="25532A3F">
      <w:pPr>
        <w:ind w:firstLine="480" w:firstLineChars="200"/>
        <w:rPr>
          <w:rFonts w:ascii="宋体" w:hAnsi="宋体"/>
          <w:color w:val="auto"/>
          <w:highlight w:val="none"/>
        </w:rPr>
      </w:pPr>
      <w:r>
        <w:rPr>
          <w:rFonts w:hint="eastAsia" w:ascii="宋体" w:hAnsi="宋体"/>
          <w:color w:val="auto"/>
          <w:highlight w:val="none"/>
        </w:rPr>
        <w:t>方案中针对安全区域边界的设计包括边界防护、访问控制、入侵防范、恶意代码和垃圾邮件、安全审计等建设内容。在应用维度对接入或登陆应用进行身份认证和权限控制；同时提供抵御外部攻击的能力并识别攻击流量、对已知或未知的风险进行检测或防御。在业务系统维度，在各个业务系统区域边界提供边界隔离、数据过滤、等技术手段。包括但不限于访问控制、地址转换、入侵防御、WEB应用防护、恶意代码传输查杀等内容，提供强健、可靠的安全保护措施。</w:t>
      </w:r>
    </w:p>
    <w:p w14:paraId="0FA3A5F2">
      <w:pPr>
        <w:ind w:firstLine="480" w:firstLineChars="200"/>
        <w:rPr>
          <w:rFonts w:ascii="宋体" w:hAnsi="宋体"/>
          <w:color w:val="auto"/>
          <w:highlight w:val="none"/>
        </w:rPr>
      </w:pPr>
      <w:r>
        <w:rPr>
          <w:rFonts w:hint="eastAsia" w:ascii="宋体" w:hAnsi="宋体"/>
          <w:color w:val="auto"/>
          <w:highlight w:val="none"/>
        </w:rPr>
        <w:t>最后对网络系统边界处各个基础承载单元进行日志记录，如网络设备运行状况、网络流量、用户行为等。审计记录包括事件的日期和时间、用户、事件类型、事件是否成功及其他与审计相关的信息。满足审计合规需要。</w:t>
      </w:r>
    </w:p>
    <w:p w14:paraId="18F5F8E5">
      <w:pPr>
        <w:pStyle w:val="8"/>
        <w:bidi w:val="0"/>
        <w:ind w:left="864" w:leftChars="0" w:hanging="864" w:firstLineChars="0"/>
        <w:rPr>
          <w:rFonts w:hint="eastAsia"/>
        </w:rPr>
      </w:pPr>
      <w:r>
        <w:rPr>
          <w:rFonts w:hint="eastAsia"/>
        </w:rPr>
        <w:t>安全计算环境</w:t>
      </w:r>
    </w:p>
    <w:p w14:paraId="1DE231B8">
      <w:pPr>
        <w:ind w:firstLine="480" w:firstLineChars="200"/>
        <w:rPr>
          <w:rFonts w:ascii="宋体" w:hAnsi="宋体"/>
          <w:color w:val="auto"/>
          <w:highlight w:val="none"/>
        </w:rPr>
      </w:pPr>
      <w:r>
        <w:rPr>
          <w:rFonts w:hint="eastAsia" w:ascii="宋体" w:hAnsi="宋体"/>
          <w:color w:val="auto"/>
          <w:highlight w:val="none"/>
        </w:rPr>
        <w:t>方案中针对安全计算环境的设计，主要参考身份鉴别、访问控制、安全审入侵防范、恶意代码防范、数据安全等相关技术要求。设计范围包含医院整体信息系统网络中的终端及业务服务器。在具体建设中首先是针对用户登录应用的身份鉴别能力进行强化，实现通过两种或两种以上组合和鉴别技术提供认证能力，且其中一种鉴别技术应使用密码技术来实现，其次落实最小授权与最小化组件安装原则，对于访问控制的粒度达到进程级，关闭不必要的端口、限定管理终端位置、发现并修补漏洞、对重要节点的攻击行为监控和报警等安全措施。并确保安全审计覆盖到每一个用户，审计维度包括日期、时间、用户、事件类型、事件是否成功等，保护审计数据的完整性。</w:t>
      </w:r>
    </w:p>
    <w:p w14:paraId="7EAB60DB">
      <w:pPr>
        <w:pStyle w:val="8"/>
        <w:bidi w:val="0"/>
        <w:ind w:left="864" w:leftChars="0" w:hanging="864" w:firstLineChars="0"/>
      </w:pPr>
      <w:r>
        <w:rPr>
          <w:rFonts w:hint="eastAsia"/>
        </w:rPr>
        <w:t>安全管理中心</w:t>
      </w:r>
    </w:p>
    <w:p w14:paraId="5F77AACE">
      <w:pPr>
        <w:ind w:firstLine="480" w:firstLineChars="200"/>
        <w:rPr>
          <w:rFonts w:ascii="宋体" w:hAnsi="宋体"/>
          <w:color w:val="auto"/>
          <w:highlight w:val="none"/>
        </w:rPr>
      </w:pPr>
      <w:r>
        <w:rPr>
          <w:rFonts w:hint="eastAsia" w:ascii="宋体" w:hAnsi="宋体"/>
          <w:color w:val="auto"/>
          <w:highlight w:val="none"/>
        </w:rPr>
        <w:t>方案中针对安全管理中心的设计，主要参考系统管理、审计管理、安全管理、集中管控相关技术要求。设计范围包含医院整体信息系统网络中网络链路、安全设备、网络设备以及运维管理区域。在网络中划分专门区域，并提供专用管理线路，集中全网审计类、管理类、监测类设备。具备运维审计、漏洞扫描、日志审计、态势感知、数据库审计、主机安全管理、漏洞修复、补丁推送网络管理等功能。同时在管理上实现三权分立。</w:t>
      </w:r>
    </w:p>
    <w:p w14:paraId="3853ADC8">
      <w:pPr>
        <w:pStyle w:val="5"/>
        <w:bidi w:val="0"/>
        <w:ind w:left="720" w:leftChars="0" w:hanging="720" w:firstLineChars="0"/>
      </w:pPr>
      <w:bookmarkStart w:id="44" w:name="_Toc21523"/>
      <w:r>
        <w:rPr>
          <w:rFonts w:hint="eastAsia"/>
        </w:rPr>
        <w:t>基于安全处置响应能力设计</w:t>
      </w:r>
      <w:bookmarkEnd w:id="44"/>
    </w:p>
    <w:p w14:paraId="1484A01E">
      <w:pPr>
        <w:ind w:firstLine="480" w:firstLineChars="200"/>
        <w:rPr>
          <w:rFonts w:ascii="宋体" w:hAnsi="宋体"/>
          <w:color w:val="auto"/>
          <w:highlight w:val="none"/>
        </w:rPr>
      </w:pPr>
      <w:r>
        <w:rPr>
          <w:rFonts w:hint="eastAsia" w:ascii="宋体" w:hAnsi="宋体"/>
          <w:color w:val="auto"/>
          <w:highlight w:val="none"/>
        </w:rPr>
        <w:t>在《三级医院评审标准》（2020年版）中，国家</w:t>
      </w:r>
      <w:r>
        <w:rPr>
          <w:rFonts w:hint="eastAsia" w:ascii="宋体" w:hAnsi="宋体"/>
          <w:color w:val="auto"/>
          <w:highlight w:val="none"/>
          <w:lang w:val="en-US"/>
        </w:rPr>
        <w:t>卫健委</w:t>
      </w:r>
      <w:r>
        <w:rPr>
          <w:rFonts w:hint="eastAsia" w:ascii="宋体" w:hAnsi="宋体"/>
          <w:color w:val="auto"/>
          <w:highlight w:val="none"/>
        </w:rPr>
        <w:t>将信息安全事故以及造成的严重后果作为前置要求之一进行严格要求，标志着医疗行业信息安全建设从过去的单一合规建设，向着基于防护效果的结果导向迈进，为此需要在等级保护基础上，构建主动安全防御及处置能力。</w:t>
      </w:r>
    </w:p>
    <w:p w14:paraId="251C8ED4">
      <w:pPr>
        <w:pStyle w:val="8"/>
        <w:bidi w:val="0"/>
        <w:ind w:left="864" w:leftChars="0" w:hanging="864" w:firstLineChars="0"/>
        <w:rPr>
          <w:rFonts w:hint="eastAsia"/>
        </w:rPr>
      </w:pPr>
      <w:r>
        <w:rPr>
          <w:rFonts w:hint="eastAsia"/>
        </w:rPr>
        <w:t>安全防御能力</w:t>
      </w:r>
    </w:p>
    <w:p w14:paraId="345DE37E">
      <w:pPr>
        <w:ind w:firstLine="480" w:firstLineChars="200"/>
        <w:rPr>
          <w:rFonts w:ascii="宋体" w:hAnsi="宋体"/>
          <w:color w:val="auto"/>
          <w:highlight w:val="none"/>
        </w:rPr>
      </w:pPr>
      <w:r>
        <w:rPr>
          <w:rFonts w:hint="eastAsia" w:ascii="宋体" w:hAnsi="宋体"/>
          <w:color w:val="auto"/>
          <w:highlight w:val="none"/>
        </w:rPr>
        <w:t>安全防御能力是主动安全体系的基石，通过多种安全防护类设备如下一代防火墙、WAF等设备，在多维度边界处构建纵深防御体系。对网络边界、区域边界进行综合安全加固。限制攻击流量扩散路径，保护系统不受外部攻击威胁。</w:t>
      </w:r>
    </w:p>
    <w:p w14:paraId="349F499D">
      <w:pPr>
        <w:pStyle w:val="8"/>
        <w:bidi w:val="0"/>
        <w:ind w:left="864" w:leftChars="0" w:hanging="864" w:firstLineChars="0"/>
      </w:pPr>
      <w:r>
        <w:rPr>
          <w:rFonts w:hint="eastAsia"/>
        </w:rPr>
        <w:t>安全处置能力</w:t>
      </w:r>
    </w:p>
    <w:p w14:paraId="5F5D8760">
      <w:pPr>
        <w:ind w:firstLine="480" w:firstLineChars="200"/>
        <w:rPr>
          <w:rFonts w:ascii="宋体" w:hAnsi="宋体"/>
          <w:color w:val="auto"/>
          <w:highlight w:val="none"/>
        </w:rPr>
      </w:pPr>
      <w:r>
        <w:rPr>
          <w:rFonts w:hint="eastAsia" w:ascii="宋体" w:hAnsi="宋体"/>
          <w:color w:val="auto"/>
          <w:highlight w:val="none"/>
        </w:rPr>
        <w:t>安全处置能力是主动安全体系的关键，也是主动安全体系中形成闭环的最后一步。由信息中心的运维人员根据实际情况以及各类检测设备检测结果，作为“机动部队”提供针对性运维处置。实现从发现风险到处置风险的逻辑闭环，根除潜伏威胁。</w:t>
      </w:r>
    </w:p>
    <w:p w14:paraId="2EEEF703">
      <w:pPr>
        <w:pStyle w:val="3"/>
        <w:bidi w:val="0"/>
        <w:ind w:left="575" w:leftChars="0" w:hanging="575" w:firstLineChars="0"/>
      </w:pPr>
      <w:bookmarkStart w:id="45" w:name="_Toc19077"/>
      <w:r>
        <w:rPr>
          <w:rFonts w:hint="eastAsia"/>
        </w:rPr>
        <w:t>详细设计方案</w:t>
      </w:r>
      <w:bookmarkEnd w:id="45"/>
    </w:p>
    <w:p w14:paraId="4CF4B67B">
      <w:pPr>
        <w:pStyle w:val="5"/>
        <w:bidi w:val="0"/>
        <w:ind w:left="720" w:leftChars="0" w:hanging="720" w:firstLineChars="0"/>
      </w:pPr>
      <w:bookmarkStart w:id="46" w:name="_Toc11278"/>
      <w:r>
        <w:rPr>
          <w:rFonts w:hint="eastAsia"/>
        </w:rPr>
        <w:t>整体安全基础设施建设</w:t>
      </w:r>
      <w:bookmarkEnd w:id="46"/>
    </w:p>
    <w:p w14:paraId="4129D22D">
      <w:pPr>
        <w:ind w:firstLine="480" w:firstLineChars="200"/>
        <w:rPr>
          <w:rFonts w:ascii="宋体" w:hAnsi="宋体"/>
          <w:color w:val="auto"/>
          <w:highlight w:val="none"/>
          <w:lang w:val="en-US"/>
        </w:rPr>
      </w:pPr>
      <w:r>
        <w:rPr>
          <w:rFonts w:hint="eastAsia" w:ascii="宋体" w:hAnsi="宋体"/>
          <w:color w:val="auto"/>
          <w:highlight w:val="none"/>
          <w:lang w:val="en-US"/>
        </w:rPr>
        <w:t>麻章区人民医院网络系统总体</w:t>
      </w:r>
      <w:r>
        <w:rPr>
          <w:rFonts w:hint="eastAsia" w:ascii="宋体" w:hAnsi="宋体"/>
          <w:color w:val="auto"/>
          <w:highlight w:val="none"/>
        </w:rPr>
        <w:t>上分为</w:t>
      </w:r>
      <w:r>
        <w:rPr>
          <w:rFonts w:hint="eastAsia" w:ascii="宋体" w:hAnsi="宋体"/>
          <w:color w:val="auto"/>
          <w:highlight w:val="none"/>
          <w:lang w:val="en-US"/>
        </w:rPr>
        <w:t>医院内网、外网和智能网</w:t>
      </w:r>
      <w:r>
        <w:rPr>
          <w:rFonts w:hint="eastAsia" w:ascii="宋体" w:hAnsi="宋体"/>
          <w:color w:val="auto"/>
          <w:highlight w:val="none"/>
        </w:rPr>
        <w:t>。</w:t>
      </w:r>
      <w:r>
        <w:rPr>
          <w:rFonts w:hint="eastAsia" w:ascii="宋体" w:hAnsi="宋体"/>
          <w:color w:val="auto"/>
          <w:highlight w:val="none"/>
          <w:lang w:val="en-US"/>
        </w:rPr>
        <w:t>智能</w:t>
      </w:r>
      <w:r>
        <w:rPr>
          <w:rFonts w:hint="eastAsia" w:ascii="宋体" w:hAnsi="宋体"/>
          <w:color w:val="auto"/>
          <w:highlight w:val="none"/>
        </w:rPr>
        <w:t>网主要承载楼控、</w:t>
      </w:r>
      <w:r>
        <w:rPr>
          <w:rFonts w:hint="eastAsia" w:ascii="宋体" w:hAnsi="宋体"/>
          <w:color w:val="auto"/>
          <w:highlight w:val="none"/>
          <w:lang w:val="en-US"/>
        </w:rPr>
        <w:t>安防监控</w:t>
      </w:r>
      <w:r>
        <w:rPr>
          <w:rFonts w:hint="eastAsia" w:ascii="宋体" w:hAnsi="宋体"/>
          <w:color w:val="auto"/>
          <w:highlight w:val="none"/>
        </w:rPr>
        <w:t>等物联网相关业务系统的互联与通信，</w:t>
      </w:r>
      <w:r>
        <w:rPr>
          <w:rFonts w:hint="eastAsia" w:ascii="宋体" w:hAnsi="宋体"/>
          <w:color w:val="auto"/>
          <w:highlight w:val="none"/>
          <w:lang w:val="en-US"/>
        </w:rPr>
        <w:t>其与医院内网、外网进行物理隔离，因此不在本次等保建设范围内</w:t>
      </w:r>
      <w:r>
        <w:rPr>
          <w:rFonts w:hint="eastAsia" w:ascii="宋体" w:hAnsi="宋体"/>
          <w:color w:val="auto"/>
          <w:highlight w:val="none"/>
        </w:rPr>
        <w:t>。</w:t>
      </w:r>
      <w:r>
        <w:rPr>
          <w:rFonts w:hint="eastAsia" w:ascii="宋体" w:hAnsi="宋体"/>
          <w:color w:val="auto"/>
          <w:highlight w:val="none"/>
          <w:lang w:val="en-US"/>
        </w:rPr>
        <w:t>医院内网、外网</w:t>
      </w:r>
      <w:r>
        <w:rPr>
          <w:rFonts w:hint="eastAsia" w:ascii="宋体" w:hAnsi="宋体"/>
          <w:color w:val="auto"/>
          <w:highlight w:val="none"/>
        </w:rPr>
        <w:t>整体安全建设拓扑如下，参考网络部分区域划分原则，针对不同区域分别设计对应区域的安全防护能力。外网主要承载对外服务业务、</w:t>
      </w:r>
      <w:r>
        <w:rPr>
          <w:rFonts w:hint="eastAsia" w:ascii="宋体" w:hAnsi="宋体"/>
          <w:color w:val="auto"/>
          <w:highlight w:val="none"/>
          <w:lang w:val="en-US"/>
        </w:rPr>
        <w:t>互联</w:t>
      </w:r>
      <w:r>
        <w:rPr>
          <w:rFonts w:hint="eastAsia" w:ascii="宋体" w:hAnsi="宋体"/>
          <w:color w:val="auto"/>
          <w:highlight w:val="none"/>
        </w:rPr>
        <w:t>网访问相关人员办公等业务职能。内网主要承载医疗业务及医疗服务相关内部业务系统。</w:t>
      </w:r>
      <w:r>
        <w:rPr>
          <w:rFonts w:hint="eastAsia" w:ascii="宋体" w:hAnsi="宋体"/>
          <w:color w:val="auto"/>
          <w:highlight w:val="none"/>
          <w:lang w:val="en-US"/>
        </w:rPr>
        <w:t>本次安全建设主要基于医院内网和外网进行设计，总体划分为外网安全区（含外网出口区、外网服务器区）、内网安全区（含内网出口区、内网用户接入区、内网服务器区）、安全管理区、安全隔离区共4个安全区域。</w:t>
      </w:r>
    </w:p>
    <w:p w14:paraId="412A1CF7">
      <w:pPr>
        <w:rPr>
          <w:color w:val="auto"/>
          <w:highlight w:val="none"/>
        </w:rPr>
      </w:pPr>
      <w:r>
        <w:rPr>
          <w:color w:val="auto"/>
          <w:highlight w:val="none"/>
        </w:rPr>
        <w:drawing>
          <wp:inline distT="0" distB="0" distL="114300" distR="114300">
            <wp:extent cx="5093335" cy="3717290"/>
            <wp:effectExtent l="0" t="0" r="12065" b="1651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5093335" cy="3717290"/>
                    </a:xfrm>
                    <a:prstGeom prst="rect">
                      <a:avLst/>
                    </a:prstGeom>
                    <a:noFill/>
                    <a:ln>
                      <a:noFill/>
                    </a:ln>
                  </pic:spPr>
                </pic:pic>
              </a:graphicData>
            </a:graphic>
          </wp:inline>
        </w:drawing>
      </w:r>
    </w:p>
    <w:p w14:paraId="019D913F">
      <w:pPr>
        <w:pStyle w:val="8"/>
        <w:bidi w:val="0"/>
        <w:ind w:left="864" w:leftChars="0" w:hanging="864" w:firstLineChars="0"/>
      </w:pPr>
      <w:r>
        <w:rPr>
          <w:rFonts w:hint="eastAsia"/>
        </w:rPr>
        <w:t>外网安全建设说明</w:t>
      </w:r>
    </w:p>
    <w:p w14:paraId="09588313">
      <w:pPr>
        <w:ind w:firstLine="480" w:firstLineChars="200"/>
        <w:rPr>
          <w:rFonts w:ascii="宋体" w:hAnsi="宋体"/>
          <w:color w:val="auto"/>
          <w:sz w:val="22"/>
          <w:szCs w:val="22"/>
          <w:highlight w:val="none"/>
        </w:rPr>
      </w:pPr>
      <w:r>
        <w:rPr>
          <w:rFonts w:hint="eastAsia" w:ascii="宋体" w:hAnsi="宋体"/>
          <w:color w:val="auto"/>
          <w:highlight w:val="none"/>
        </w:rPr>
        <w:t>外网是院区网络与数据中心网络和外界互联网的信息交换的出入口，承载着众多面对社会大众开放的业务系统，因此整体设计上更加注重内部网络与互联网的隔离以及针对互联网攻击的专项防护。依据业务属性的不同，对医院内部业务和对互联网侧业务进行区域划分，实行不同级别和粒度的防护。</w:t>
      </w:r>
    </w:p>
    <w:p w14:paraId="061B7E12">
      <w:pPr>
        <w:ind w:firstLine="480" w:firstLineChars="200"/>
        <w:rPr>
          <w:rFonts w:ascii="宋体" w:hAnsi="宋体"/>
          <w:color w:val="auto"/>
          <w:highlight w:val="none"/>
          <w:lang w:val="en-US"/>
        </w:rPr>
      </w:pPr>
      <w:r>
        <w:rPr>
          <w:rFonts w:hint="eastAsia" w:ascii="宋体" w:hAnsi="宋体"/>
          <w:color w:val="auto"/>
          <w:highlight w:val="none"/>
          <w:lang w:val="en-US"/>
        </w:rPr>
        <w:t>1.边界防护</w:t>
      </w:r>
    </w:p>
    <w:p w14:paraId="67D96E99">
      <w:pPr>
        <w:ind w:firstLine="480" w:firstLineChars="200"/>
        <w:rPr>
          <w:color w:val="auto"/>
          <w:highlight w:val="none"/>
        </w:rPr>
      </w:pPr>
      <w:r>
        <w:rPr>
          <w:rFonts w:hint="eastAsia" w:ascii="宋体" w:hAnsi="宋体"/>
          <w:color w:val="auto"/>
          <w:highlight w:val="none"/>
          <w:lang w:val="en-US"/>
        </w:rPr>
        <w:t>外网出口</w:t>
      </w:r>
      <w:r>
        <w:rPr>
          <w:rFonts w:hint="eastAsia" w:ascii="宋体" w:hAnsi="宋体"/>
          <w:color w:val="auto"/>
          <w:highlight w:val="none"/>
        </w:rPr>
        <w:t>区是互联网与内部网络访问的边界，因此需要针对互联网上泛滥的多种攻击进行针对性安全加固，构建全面防护的安全边界，具体建设内容如下：</w:t>
      </w:r>
    </w:p>
    <w:p w14:paraId="26038EB1">
      <w:pPr>
        <w:ind w:firstLine="480" w:firstLineChars="200"/>
        <w:rPr>
          <w:rFonts w:ascii="宋体" w:hAnsi="宋体"/>
          <w:color w:val="auto"/>
          <w:highlight w:val="none"/>
        </w:rPr>
      </w:pPr>
      <w:r>
        <w:rPr>
          <w:rFonts w:hint="eastAsia" w:ascii="宋体" w:hAnsi="宋体"/>
          <w:color w:val="auto"/>
          <w:highlight w:val="none"/>
        </w:rPr>
        <w:t>边界防护能力由下一代防火墙设备实现。通过下一代防火墙设备进行网络控制与访问控制。对所有流经防火墙的数据包按照严格的安全规则进行过滤，将所有不安全的或不符合安全规则的数据包屏蔽，杜绝越权访问，防止各类非法攻击行为。同时开启入侵防御与网关杀毒功能，对网络中传输的数据进行恶意文件查杀，清除网络中输入的病毒风险。通过入侵防护模块识别网络中发生的入侵行为并实时报警，进行有效拦截防护。入侵防护模块和访问控制等网络层防护形成有效互补，在防火墙进行访问控制，保证了访问的合法性之后，动态的进行入侵行为的保护，对访问状态进行检测、基于漏洞进行渗透阻断、对通信协议和应用协议进行检测、对内容进行深度的检测。阻断来自内部的数据攻击以及垃圾数据流的泛滥。最后通过杀毒功能，对网络侧传输的文件进行病毒查杀。对HTTP、SMTP、POP3、IMAP、FTP、SMB等多种协议类型的病毒进行查杀，实现针对木马、蠕虫、宏病毒、脚本病毒等恶意文件传输行为的检查与过滤。</w:t>
      </w:r>
    </w:p>
    <w:p w14:paraId="6DE58769">
      <w:pPr>
        <w:ind w:firstLine="480" w:firstLineChars="200"/>
        <w:rPr>
          <w:rFonts w:ascii="宋体" w:hAnsi="宋体"/>
          <w:color w:val="auto"/>
          <w:highlight w:val="none"/>
          <w:lang w:val="en-US"/>
        </w:rPr>
      </w:pPr>
      <w:r>
        <w:rPr>
          <w:rFonts w:hint="eastAsia" w:ascii="宋体" w:hAnsi="宋体"/>
          <w:color w:val="auto"/>
          <w:highlight w:val="none"/>
          <w:lang w:val="en-US"/>
        </w:rPr>
        <w:t>2.人员管理</w:t>
      </w:r>
    </w:p>
    <w:p w14:paraId="72F0F21C">
      <w:pPr>
        <w:ind w:firstLine="480" w:firstLineChars="200"/>
        <w:rPr>
          <w:color w:val="auto"/>
          <w:highlight w:val="none"/>
        </w:rPr>
      </w:pPr>
      <w:r>
        <w:rPr>
          <w:rFonts w:hint="eastAsia" w:ascii="宋体" w:hAnsi="宋体"/>
          <w:color w:val="auto"/>
          <w:highlight w:val="none"/>
        </w:rPr>
        <w:t>通过上网行为管理设备实现对于人员访问外网行为的全面管理与审计，对网络行为及流量进行约束与管理，实现对人员办公终端访问外网的行为进行管控与审计，同时进行带宽管理与限制，对核心业务进行带宽保障，确保业务持续稳定运行。</w:t>
      </w:r>
    </w:p>
    <w:p w14:paraId="42956E05">
      <w:pPr>
        <w:pStyle w:val="8"/>
        <w:bidi w:val="0"/>
        <w:ind w:left="864" w:leftChars="0" w:hanging="864" w:firstLineChars="0"/>
        <w:rPr>
          <w:rFonts w:hint="eastAsia"/>
        </w:rPr>
      </w:pPr>
      <w:r>
        <w:rPr>
          <w:rFonts w:hint="eastAsia"/>
        </w:rPr>
        <w:t>内网安全建设说明</w:t>
      </w:r>
    </w:p>
    <w:p w14:paraId="1C5994B7">
      <w:pPr>
        <w:ind w:firstLine="480" w:firstLineChars="200"/>
        <w:rPr>
          <w:rFonts w:ascii="宋体" w:hAnsi="宋体"/>
          <w:color w:val="auto"/>
          <w:highlight w:val="none"/>
        </w:rPr>
      </w:pPr>
      <w:r>
        <w:rPr>
          <w:rFonts w:hint="eastAsia" w:ascii="宋体" w:hAnsi="宋体"/>
          <w:color w:val="auto"/>
          <w:highlight w:val="none"/>
        </w:rPr>
        <w:t>内网区安全建设能重点主要在于对各个业务系统的综合安全加固，以及针对来自广域网对端不可控网络的安全防护。基于业务特性，可将内网划分为</w:t>
      </w:r>
      <w:r>
        <w:rPr>
          <w:rFonts w:hint="eastAsia" w:ascii="宋体" w:hAnsi="宋体"/>
          <w:color w:val="auto"/>
          <w:highlight w:val="none"/>
          <w:lang w:val="en-US"/>
        </w:rPr>
        <w:t>内网出口区、</w:t>
      </w:r>
      <w:r>
        <w:rPr>
          <w:rFonts w:hint="eastAsia" w:ascii="宋体" w:hAnsi="宋体"/>
          <w:color w:val="auto"/>
          <w:highlight w:val="none"/>
        </w:rPr>
        <w:t>数据中心区、内网</w:t>
      </w:r>
      <w:r>
        <w:rPr>
          <w:rFonts w:hint="eastAsia" w:ascii="宋体" w:hAnsi="宋体"/>
          <w:color w:val="auto"/>
          <w:highlight w:val="none"/>
          <w:lang w:val="en-US"/>
        </w:rPr>
        <w:t>接入</w:t>
      </w:r>
      <w:r>
        <w:rPr>
          <w:rFonts w:hint="eastAsia" w:ascii="宋体" w:hAnsi="宋体"/>
          <w:color w:val="auto"/>
          <w:highlight w:val="none"/>
        </w:rPr>
        <w:t>区三个业务区域。</w:t>
      </w:r>
    </w:p>
    <w:p w14:paraId="46671A8D">
      <w:pPr>
        <w:ind w:firstLine="480" w:firstLineChars="200"/>
        <w:rPr>
          <w:rFonts w:ascii="宋体" w:hAnsi="宋体"/>
          <w:color w:val="auto"/>
          <w:highlight w:val="none"/>
          <w:lang w:val="en-US"/>
        </w:rPr>
      </w:pPr>
      <w:r>
        <w:rPr>
          <w:rFonts w:hint="eastAsia" w:ascii="宋体" w:hAnsi="宋体"/>
          <w:color w:val="auto"/>
          <w:highlight w:val="none"/>
          <w:lang w:val="en-US"/>
        </w:rPr>
        <w:t>1.内网出口区</w:t>
      </w:r>
    </w:p>
    <w:p w14:paraId="2B15BF95">
      <w:pPr>
        <w:ind w:firstLine="480" w:firstLineChars="200"/>
        <w:rPr>
          <w:rFonts w:ascii="宋体" w:hAnsi="宋体"/>
          <w:color w:val="auto"/>
          <w:highlight w:val="none"/>
        </w:rPr>
      </w:pPr>
      <w:r>
        <w:rPr>
          <w:rFonts w:hint="eastAsia" w:ascii="宋体" w:hAnsi="宋体"/>
          <w:color w:val="auto"/>
          <w:highlight w:val="none"/>
          <w:lang w:val="en-US"/>
        </w:rPr>
        <w:t>内网出口区</w:t>
      </w:r>
      <w:r>
        <w:rPr>
          <w:rFonts w:hint="eastAsia" w:ascii="宋体" w:hAnsi="宋体"/>
          <w:color w:val="auto"/>
          <w:highlight w:val="none"/>
        </w:rPr>
        <w:t>主要提供医保、银联等广域网接入能力，由于采用广域网连接，且对端机构虽然不可控但相比互联网而言安全级别较高、网络规模较小。因此相比于互联网区可优化部分安全防护能力，主要提供区域隔离与访问控制能力即可。通过下一代防火墙针对其他单位的接入流量进行过滤和检测。实现基于五元组的访问流量白名单限制。同时利用入侵防御以及网关杀毒能力进行专项防护，保护内部网络安全。</w:t>
      </w:r>
    </w:p>
    <w:p w14:paraId="203FFF10">
      <w:pPr>
        <w:ind w:firstLine="480" w:firstLineChars="200"/>
        <w:rPr>
          <w:rFonts w:ascii="宋体" w:hAnsi="宋体"/>
          <w:color w:val="auto"/>
          <w:highlight w:val="none"/>
          <w:lang w:val="en-US"/>
        </w:rPr>
      </w:pPr>
      <w:r>
        <w:rPr>
          <w:rFonts w:hint="eastAsia" w:ascii="宋体" w:hAnsi="宋体"/>
          <w:color w:val="auto"/>
          <w:highlight w:val="none"/>
          <w:lang w:val="en-US"/>
        </w:rPr>
        <w:t>2.数据中心区</w:t>
      </w:r>
    </w:p>
    <w:p w14:paraId="64ABC9FC">
      <w:pPr>
        <w:ind w:firstLine="480" w:firstLineChars="200"/>
        <w:rPr>
          <w:rFonts w:ascii="宋体" w:hAnsi="宋体"/>
          <w:color w:val="auto"/>
          <w:highlight w:val="none"/>
        </w:rPr>
      </w:pPr>
      <w:r>
        <w:rPr>
          <w:rFonts w:hint="eastAsia" w:ascii="宋体" w:hAnsi="宋体"/>
          <w:color w:val="auto"/>
          <w:highlight w:val="none"/>
        </w:rPr>
        <w:t>数据中心区主要承载HIS、</w:t>
      </w:r>
      <w:r>
        <w:rPr>
          <w:rFonts w:hint="eastAsia" w:ascii="宋体" w:hAnsi="宋体"/>
          <w:color w:val="auto"/>
          <w:highlight w:val="none"/>
          <w:lang w:val="en-US"/>
        </w:rPr>
        <w:t>LIS、PACS、</w:t>
      </w:r>
      <w:r>
        <w:rPr>
          <w:rFonts w:hint="eastAsia" w:ascii="宋体" w:hAnsi="宋体"/>
          <w:color w:val="auto"/>
          <w:highlight w:val="none"/>
        </w:rPr>
        <w:t>EMR等关键业务系统，需严格参照等级保护二级</w:t>
      </w:r>
      <w:r>
        <w:rPr>
          <w:rFonts w:hint="eastAsia" w:ascii="宋体" w:hAnsi="宋体"/>
          <w:color w:val="auto"/>
          <w:highlight w:val="none"/>
          <w:lang w:val="en-US"/>
        </w:rPr>
        <w:t>信息系统</w:t>
      </w:r>
      <w:r>
        <w:rPr>
          <w:rFonts w:hint="eastAsia" w:ascii="宋体" w:hAnsi="宋体"/>
          <w:color w:val="auto"/>
          <w:highlight w:val="none"/>
        </w:rPr>
        <w:t>要求进行建设。</w:t>
      </w:r>
    </w:p>
    <w:p w14:paraId="61FE0BD5">
      <w:pPr>
        <w:ind w:firstLine="480" w:firstLineChars="200"/>
        <w:rPr>
          <w:rFonts w:ascii="宋体" w:hAnsi="宋体"/>
          <w:color w:val="auto"/>
          <w:highlight w:val="none"/>
        </w:rPr>
      </w:pPr>
      <w:r>
        <w:rPr>
          <w:rFonts w:hint="eastAsia" w:ascii="宋体" w:hAnsi="宋体"/>
          <w:color w:val="auto"/>
          <w:highlight w:val="none"/>
          <w:lang w:val="en-US"/>
        </w:rPr>
        <w:t>通过部署主机杀毒系统，为各业务系统主机</w:t>
      </w:r>
      <w:r>
        <w:rPr>
          <w:rFonts w:hint="eastAsia" w:ascii="宋体" w:hAnsi="宋体"/>
          <w:color w:val="auto"/>
          <w:highlight w:val="none"/>
        </w:rPr>
        <w:t>提供入侵检测、入侵防御、基线检查、主机杀毒等功能。</w:t>
      </w:r>
    </w:p>
    <w:p w14:paraId="2E1101AE">
      <w:pPr>
        <w:pStyle w:val="8"/>
        <w:bidi w:val="0"/>
        <w:ind w:left="864" w:leftChars="0" w:hanging="864" w:firstLineChars="0"/>
        <w:rPr>
          <w:rFonts w:hint="eastAsia"/>
        </w:rPr>
      </w:pPr>
      <w:r>
        <w:rPr>
          <w:rFonts w:hint="eastAsia"/>
        </w:rPr>
        <w:t>安全管理区建设说明</w:t>
      </w:r>
    </w:p>
    <w:p w14:paraId="2FC01A07">
      <w:pPr>
        <w:ind w:firstLine="480" w:firstLineChars="200"/>
        <w:rPr>
          <w:rFonts w:ascii="宋体" w:hAnsi="宋体"/>
          <w:color w:val="auto"/>
          <w:highlight w:val="none"/>
        </w:rPr>
      </w:pPr>
      <w:r>
        <w:rPr>
          <w:rFonts w:hint="eastAsia" w:ascii="宋体" w:hAnsi="宋体"/>
          <w:color w:val="auto"/>
          <w:highlight w:val="none"/>
        </w:rPr>
        <w:t>安全管理中心作为数据中心安全管理的核心与重点所在，承载着对数据中心外网与内网的统一管理、统一审计、统一监测职能。</w:t>
      </w:r>
      <w:r>
        <w:rPr>
          <w:rFonts w:hint="eastAsia" w:ascii="宋体" w:hAnsi="宋体"/>
          <w:color w:val="auto"/>
          <w:highlight w:val="none"/>
          <w:lang w:val="en-US" w:eastAsia="zh-CN"/>
        </w:rPr>
        <w:t>为</w:t>
      </w:r>
      <w:r>
        <w:rPr>
          <w:rFonts w:hint="eastAsia" w:ascii="宋体" w:hAnsi="宋体"/>
          <w:color w:val="auto"/>
          <w:highlight w:val="none"/>
        </w:rPr>
        <w:t>运维管理人员</w:t>
      </w:r>
      <w:r>
        <w:rPr>
          <w:rFonts w:hint="eastAsia" w:ascii="宋体" w:hAnsi="宋体"/>
          <w:color w:val="auto"/>
          <w:highlight w:val="none"/>
          <w:lang w:val="en-US" w:eastAsia="zh-CN"/>
        </w:rPr>
        <w:t>提供</w:t>
      </w:r>
      <w:r>
        <w:rPr>
          <w:rFonts w:hint="eastAsia" w:ascii="宋体" w:hAnsi="宋体"/>
          <w:color w:val="auto"/>
          <w:highlight w:val="none"/>
        </w:rPr>
        <w:t>运维审计、全网设备日志统一存储与统一审计、全网设备与系统漏洞扫描、数据库操作审计、安全事件关联分析、安全态势总体呈现、全网主机安全管理能力。同时出于建设性价比考虑，将数据中心内网与数据中心外网通过一个安全管理区进行统一管理。</w:t>
      </w:r>
    </w:p>
    <w:p w14:paraId="727503A4">
      <w:pPr>
        <w:ind w:firstLine="480" w:firstLineChars="200"/>
        <w:rPr>
          <w:rFonts w:ascii="宋体" w:hAnsi="宋体"/>
          <w:color w:val="auto"/>
          <w:highlight w:val="none"/>
          <w:lang w:val="en-US"/>
        </w:rPr>
      </w:pPr>
      <w:r>
        <w:rPr>
          <w:rFonts w:hint="eastAsia" w:ascii="宋体" w:hAnsi="宋体"/>
          <w:color w:val="auto"/>
          <w:highlight w:val="none"/>
          <w:lang w:val="en-US" w:eastAsia="zh-CN"/>
        </w:rPr>
        <w:t>1.</w:t>
      </w:r>
      <w:r>
        <w:rPr>
          <w:rFonts w:hint="eastAsia" w:ascii="宋体" w:hAnsi="宋体"/>
          <w:color w:val="auto"/>
          <w:highlight w:val="none"/>
          <w:lang w:val="en-US"/>
        </w:rPr>
        <w:t>安全审计</w:t>
      </w:r>
    </w:p>
    <w:p w14:paraId="7A799925">
      <w:pPr>
        <w:ind w:firstLine="480" w:firstLineChars="200"/>
        <w:rPr>
          <w:rFonts w:ascii="宋体" w:hAnsi="宋体"/>
          <w:color w:val="auto"/>
          <w:highlight w:val="none"/>
        </w:rPr>
      </w:pPr>
      <w:r>
        <w:rPr>
          <w:rFonts w:hint="eastAsia" w:ascii="宋体" w:hAnsi="宋体"/>
          <w:color w:val="auto"/>
          <w:highlight w:val="none"/>
        </w:rPr>
        <w:t>安全审计能力由日志审计、堡垒机实现。通过日志审计收集内外网网络资产与设备的运行信息等日志信息，通过堡垒机对运维相关操作进行审计。</w:t>
      </w:r>
    </w:p>
    <w:p w14:paraId="36061BC1">
      <w:pPr>
        <w:ind w:firstLine="480" w:firstLineChars="200"/>
        <w:rPr>
          <w:rFonts w:ascii="宋体" w:hAnsi="宋体"/>
          <w:color w:val="auto"/>
          <w:highlight w:val="none"/>
          <w:lang w:val="en-US"/>
        </w:rPr>
      </w:pPr>
      <w:r>
        <w:rPr>
          <w:rFonts w:hint="eastAsia" w:ascii="宋体" w:hAnsi="宋体"/>
          <w:color w:val="auto"/>
          <w:highlight w:val="none"/>
          <w:lang w:val="en-US" w:eastAsia="zh-CN"/>
        </w:rPr>
        <w:t>2.</w:t>
      </w:r>
      <w:r>
        <w:rPr>
          <w:rFonts w:hint="eastAsia" w:ascii="宋体" w:hAnsi="宋体"/>
          <w:color w:val="auto"/>
          <w:highlight w:val="none"/>
          <w:lang w:val="en-US"/>
        </w:rPr>
        <w:t>日志审计系统</w:t>
      </w:r>
    </w:p>
    <w:p w14:paraId="629FA385">
      <w:pPr>
        <w:ind w:firstLine="480" w:firstLineChars="200"/>
        <w:rPr>
          <w:rFonts w:ascii="宋体" w:hAnsi="宋体"/>
          <w:color w:val="auto"/>
          <w:highlight w:val="none"/>
        </w:rPr>
      </w:pPr>
      <w:r>
        <w:rPr>
          <w:rFonts w:hint="eastAsia" w:ascii="宋体" w:hAnsi="宋体"/>
          <w:color w:val="auto"/>
          <w:highlight w:val="none"/>
        </w:rPr>
        <w:t>实时不间断地采集医院数据中心中不同厂商不同种类的安全设备、网络设备、主机、操作系统、用户业务系统的日志信息，并进行统一存储，满足《网络安全法》中对于日志留存180天的合规需要，并协助用户进行安全分析及合规审计，及时、有效</w:t>
      </w:r>
      <w:r>
        <w:rPr>
          <w:rFonts w:hint="eastAsia" w:ascii="宋体" w:hAnsi="宋体"/>
          <w:color w:val="auto"/>
          <w:highlight w:val="none"/>
          <w:lang w:val="en-US" w:eastAsia="zh-CN"/>
        </w:rPr>
        <w:t>地</w:t>
      </w:r>
      <w:r>
        <w:rPr>
          <w:rFonts w:hint="eastAsia" w:ascii="宋体" w:hAnsi="宋体"/>
          <w:color w:val="auto"/>
          <w:highlight w:val="none"/>
        </w:rPr>
        <w:t>发现异常安全事件及审计违规。</w:t>
      </w:r>
    </w:p>
    <w:p w14:paraId="5F3FCBD6">
      <w:pPr>
        <w:ind w:firstLine="480" w:firstLineChars="200"/>
        <w:rPr>
          <w:rFonts w:ascii="宋体" w:hAnsi="宋体"/>
          <w:color w:val="auto"/>
          <w:highlight w:val="none"/>
          <w:lang w:val="en-US"/>
        </w:rPr>
      </w:pPr>
      <w:r>
        <w:rPr>
          <w:rFonts w:hint="eastAsia" w:ascii="宋体" w:hAnsi="宋体"/>
          <w:color w:val="auto"/>
          <w:highlight w:val="none"/>
          <w:lang w:val="en-US" w:eastAsia="zh-CN"/>
        </w:rPr>
        <w:t>3.</w:t>
      </w:r>
      <w:r>
        <w:rPr>
          <w:rFonts w:hint="eastAsia" w:ascii="宋体" w:hAnsi="宋体"/>
          <w:color w:val="auto"/>
          <w:highlight w:val="none"/>
          <w:lang w:val="en-US"/>
        </w:rPr>
        <w:t xml:space="preserve">堡垒机 </w:t>
      </w:r>
    </w:p>
    <w:p w14:paraId="3C78AC8B">
      <w:pPr>
        <w:ind w:firstLine="480" w:firstLineChars="200"/>
        <w:rPr>
          <w:rFonts w:ascii="宋体" w:hAnsi="宋体"/>
          <w:color w:val="auto"/>
          <w:highlight w:val="none"/>
        </w:rPr>
      </w:pPr>
      <w:r>
        <w:rPr>
          <w:rFonts w:hint="eastAsia" w:ascii="宋体" w:hAnsi="宋体"/>
          <w:color w:val="auto"/>
          <w:highlight w:val="none"/>
        </w:rPr>
        <w:t>将医院所有网络设备、安全设备等IT组件的管理运维端口，通过策略路由的方式，交由堡垒机代理。实现运维单点登录，统一身份认证、统一访问授权、统一审计管理，并对运维操作进行审计记录（录屏和键盘操作记录），并通过堡垒机实现对运维角色与权限的划分，分为系统管理员、审计管理员、安全管理员等，实现三权分立。</w:t>
      </w:r>
    </w:p>
    <w:p w14:paraId="5EDD840C">
      <w:pPr>
        <w:ind w:firstLine="480" w:firstLineChars="200"/>
        <w:rPr>
          <w:rFonts w:ascii="宋体" w:hAnsi="宋体"/>
          <w:color w:val="auto"/>
          <w:highlight w:val="none"/>
          <w:lang w:val="en-US"/>
        </w:rPr>
      </w:pPr>
      <w:r>
        <w:rPr>
          <w:rFonts w:hint="eastAsia" w:ascii="宋体" w:hAnsi="宋体"/>
          <w:color w:val="auto"/>
          <w:highlight w:val="none"/>
          <w:lang w:val="en-US" w:eastAsia="zh-CN"/>
        </w:rPr>
        <w:t>4.</w:t>
      </w:r>
      <w:r>
        <w:rPr>
          <w:rFonts w:hint="eastAsia" w:ascii="宋体" w:hAnsi="宋体"/>
          <w:color w:val="auto"/>
          <w:highlight w:val="none"/>
          <w:lang w:val="en-US"/>
        </w:rPr>
        <w:t>集中管理</w:t>
      </w:r>
    </w:p>
    <w:p w14:paraId="5B33DD0E">
      <w:pPr>
        <w:ind w:firstLine="480" w:firstLineChars="200"/>
        <w:rPr>
          <w:rFonts w:ascii="宋体" w:hAnsi="宋体"/>
          <w:color w:val="auto"/>
          <w:highlight w:val="none"/>
        </w:rPr>
      </w:pPr>
      <w:r>
        <w:rPr>
          <w:rFonts w:hint="eastAsia" w:ascii="宋体" w:hAnsi="宋体"/>
          <w:color w:val="auto"/>
          <w:highlight w:val="none"/>
        </w:rPr>
        <w:t>在安全管理区内部署主机安全管理端，并在各个业务主机部署主机安全agent，提供入侵检测、入侵防御、基线检查、主机杀毒等功能，构建安全计算环境，落实信息安全建设“最后一公里”。</w:t>
      </w:r>
    </w:p>
    <w:p w14:paraId="54D4FB14">
      <w:pPr>
        <w:pStyle w:val="8"/>
        <w:bidi w:val="0"/>
        <w:ind w:left="864" w:leftChars="0" w:hanging="864" w:firstLineChars="0"/>
      </w:pPr>
      <w:r>
        <w:rPr>
          <w:rFonts w:hint="eastAsia"/>
        </w:rPr>
        <w:t>安全隔离区建设说明</w:t>
      </w:r>
    </w:p>
    <w:p w14:paraId="79E3293B">
      <w:pPr>
        <w:ind w:firstLine="480" w:firstLineChars="200"/>
        <w:rPr>
          <w:rFonts w:ascii="宋体" w:hAnsi="宋体"/>
          <w:color w:val="auto"/>
          <w:highlight w:val="none"/>
        </w:rPr>
      </w:pPr>
      <w:r>
        <w:rPr>
          <w:rFonts w:hint="eastAsia" w:ascii="宋体" w:hAnsi="宋体"/>
          <w:color w:val="auto"/>
          <w:highlight w:val="none"/>
          <w:lang w:val="en-US"/>
        </w:rPr>
        <w:t>安全隔离</w:t>
      </w:r>
      <w:r>
        <w:rPr>
          <w:rFonts w:hint="eastAsia" w:ascii="宋体" w:hAnsi="宋体"/>
          <w:color w:val="auto"/>
          <w:highlight w:val="none"/>
        </w:rPr>
        <w:t>区安全建设侧重外网和内网信息交互侧的隔离，在确保总体隔离的前提下实现有限与必要的数据摆渡能力。通过</w:t>
      </w:r>
      <w:r>
        <w:rPr>
          <w:rFonts w:hint="eastAsia" w:ascii="宋体" w:hAnsi="宋体"/>
          <w:color w:val="auto"/>
          <w:highlight w:val="none"/>
          <w:lang w:val="en-US"/>
        </w:rPr>
        <w:t>安全隔离与信息交换系统（</w:t>
      </w:r>
      <w:r>
        <w:rPr>
          <w:rFonts w:hint="eastAsia" w:ascii="宋体" w:hAnsi="宋体"/>
          <w:color w:val="auto"/>
          <w:highlight w:val="none"/>
        </w:rPr>
        <w:t>网闸</w:t>
      </w:r>
      <w:r>
        <w:rPr>
          <w:rFonts w:hint="eastAsia" w:ascii="宋体" w:hAnsi="宋体"/>
          <w:color w:val="auto"/>
          <w:highlight w:val="none"/>
          <w:lang w:val="en-US"/>
        </w:rPr>
        <w:t>）</w:t>
      </w:r>
      <w:r>
        <w:rPr>
          <w:rFonts w:hint="eastAsia" w:ascii="宋体" w:hAnsi="宋体"/>
          <w:color w:val="auto"/>
          <w:highlight w:val="none"/>
        </w:rPr>
        <w:t>进行网络与网络间的实时数据交换，确保在出现安全问题时，进行快速的数据流阻断。同时在数据摆渡机到内外网业务系统的数据通路上，部署下一代防火墙开启防病毒模块，针对经过数据摆渡传输的文件进行病毒查杀，确保交互数据的安全性。</w:t>
      </w:r>
    </w:p>
    <w:p w14:paraId="3F641A48">
      <w:pPr>
        <w:ind w:firstLine="480" w:firstLineChars="200"/>
        <w:rPr>
          <w:rFonts w:ascii="宋体" w:hAnsi="宋体"/>
          <w:color w:val="auto"/>
          <w:highlight w:val="none"/>
        </w:rPr>
      </w:pPr>
      <w:r>
        <w:rPr>
          <w:rFonts w:hint="eastAsia" w:ascii="宋体" w:hAnsi="宋体"/>
          <w:color w:val="auto"/>
          <w:highlight w:val="none"/>
        </w:rPr>
        <w:t>数据摆渡能力由网闸实现</w:t>
      </w:r>
      <w:r>
        <w:rPr>
          <w:rFonts w:hint="eastAsia" w:ascii="宋体" w:hAnsi="宋体"/>
          <w:color w:val="auto"/>
          <w:highlight w:val="none"/>
          <w:lang w:eastAsia="zh-CN"/>
        </w:rPr>
        <w:t>，</w:t>
      </w:r>
      <w:r>
        <w:rPr>
          <w:rFonts w:hint="eastAsia" w:ascii="宋体" w:hAnsi="宋体"/>
          <w:color w:val="auto"/>
          <w:highlight w:val="none"/>
        </w:rPr>
        <w:t>在数据隔离交换区中通过网闸首先实现对于数据流的有限阻断，在此基础上根据白名单策略，只对必要的数据与文件传输提供传输服务。有效阻断跨网远程控制等恶意行为。</w:t>
      </w:r>
    </w:p>
    <w:p w14:paraId="0B81E485">
      <w:pPr>
        <w:pStyle w:val="5"/>
        <w:bidi w:val="0"/>
        <w:ind w:left="720" w:leftChars="0" w:hanging="720" w:firstLineChars="0"/>
      </w:pPr>
      <w:bookmarkStart w:id="47" w:name="_Toc19793807"/>
      <w:bookmarkStart w:id="48" w:name="_Toc17609"/>
      <w:bookmarkStart w:id="49" w:name="_Toc24523"/>
      <w:r>
        <w:rPr>
          <w:rFonts w:hint="eastAsia"/>
        </w:rPr>
        <w:t>安全管理</w:t>
      </w:r>
      <w:bookmarkEnd w:id="47"/>
      <w:r>
        <w:rPr>
          <w:rFonts w:hint="eastAsia"/>
        </w:rPr>
        <w:t>体系建设</w:t>
      </w:r>
      <w:bookmarkEnd w:id="48"/>
      <w:bookmarkEnd w:id="49"/>
    </w:p>
    <w:p w14:paraId="70F42028">
      <w:pPr>
        <w:ind w:firstLine="480" w:firstLineChars="200"/>
        <w:rPr>
          <w:rFonts w:ascii="宋体" w:hAnsi="宋体"/>
          <w:color w:val="auto"/>
          <w:highlight w:val="none"/>
        </w:rPr>
      </w:pPr>
      <w:r>
        <w:rPr>
          <w:rFonts w:hint="eastAsia" w:ascii="宋体" w:hAnsi="宋体"/>
          <w:color w:val="auto"/>
          <w:highlight w:val="none"/>
        </w:rPr>
        <w:t>安全管理体系的作用是通过建立健全组织机构、规章制度，以及通过人员安全管理、安全教育与培训和各项管理制度的有效执行，来落实人员职责，确定行为规范，保证技术措施真正发挥效用，与技术体系共同保障安全策略的有效贯彻和落实。信息安全管理体系主要包括组织机构、规章制度、人员安全、安全教育和培训等四个方面内容。</w:t>
      </w:r>
    </w:p>
    <w:p w14:paraId="5F231755">
      <w:pPr>
        <w:pStyle w:val="8"/>
        <w:bidi w:val="0"/>
        <w:ind w:left="864" w:leftChars="0" w:hanging="864" w:firstLineChars="0"/>
      </w:pPr>
      <w:bookmarkStart w:id="50" w:name="_Toc1383"/>
      <w:bookmarkStart w:id="51" w:name="_Toc19793808"/>
      <w:r>
        <w:rPr>
          <w:rFonts w:hint="eastAsia"/>
        </w:rPr>
        <w:t>安全策略与制度管理</w:t>
      </w:r>
      <w:bookmarkEnd w:id="50"/>
      <w:bookmarkEnd w:id="51"/>
    </w:p>
    <w:p w14:paraId="48FD6A64">
      <w:pPr>
        <w:ind w:firstLine="480" w:firstLineChars="200"/>
        <w:rPr>
          <w:rFonts w:ascii="宋体" w:hAnsi="宋体"/>
          <w:color w:val="auto"/>
          <w:highlight w:val="none"/>
        </w:rPr>
      </w:pPr>
      <w:r>
        <w:rPr>
          <w:rFonts w:hint="eastAsia" w:ascii="宋体" w:hAnsi="宋体"/>
          <w:color w:val="auto"/>
          <w:highlight w:val="none"/>
        </w:rPr>
        <w:t>根据安全管理制度的基本要求制定各类管理规定、管理办法和暂行规定。从安全策略主文档中规定的安全各个方面所应遵守的原则方法和指导性策略引出的具体管理规定、管理办法和实施办法，是具有可操作性，且必须得到有效推行和实施的制度。</w:t>
      </w:r>
    </w:p>
    <w:p w14:paraId="4DEB4E6C">
      <w:pPr>
        <w:ind w:firstLine="480" w:firstLineChars="200"/>
        <w:rPr>
          <w:rFonts w:ascii="宋体" w:hAnsi="宋体"/>
          <w:color w:val="auto"/>
          <w:highlight w:val="none"/>
        </w:rPr>
      </w:pPr>
      <w:r>
        <w:rPr>
          <w:rFonts w:hint="eastAsia" w:ascii="宋体" w:hAnsi="宋体"/>
          <w:color w:val="auto"/>
          <w:highlight w:val="none"/>
        </w:rPr>
        <w:t>制定严格的制定与发布流程，方式，范围等，制度需要统一格式并进行有效版本控制；发布方式需要正式、有效并注明发布范围，对收发文进行登记。</w:t>
      </w:r>
    </w:p>
    <w:p w14:paraId="59244C93">
      <w:pPr>
        <w:ind w:firstLine="480" w:firstLineChars="200"/>
        <w:rPr>
          <w:rFonts w:ascii="宋体" w:hAnsi="宋体"/>
          <w:color w:val="auto"/>
          <w:highlight w:val="none"/>
        </w:rPr>
      </w:pPr>
      <w:r>
        <w:rPr>
          <w:rFonts w:hint="eastAsia" w:ascii="宋体" w:hAnsi="宋体"/>
          <w:color w:val="auto"/>
          <w:highlight w:val="none"/>
        </w:rPr>
        <w:t>信息安全领导小组负责定期组织相关部门和相关人员对安全管理制度体系的合理性和适用性进行审定，定期或不定期对安全管理制度进行评审和修订，修订不足及进行改进。</w:t>
      </w:r>
    </w:p>
    <w:p w14:paraId="44FD49D5">
      <w:pPr>
        <w:pStyle w:val="8"/>
        <w:bidi w:val="0"/>
        <w:ind w:left="864" w:leftChars="0" w:hanging="864" w:firstLineChars="0"/>
      </w:pPr>
      <w:bookmarkStart w:id="52" w:name="_Toc19793809"/>
      <w:bookmarkStart w:id="53" w:name="_Toc2295"/>
      <w:r>
        <w:rPr>
          <w:rFonts w:hint="eastAsia"/>
        </w:rPr>
        <w:t>安全管理机构和人员</w:t>
      </w:r>
      <w:bookmarkEnd w:id="52"/>
      <w:bookmarkEnd w:id="53"/>
    </w:p>
    <w:p w14:paraId="6E76B4D2">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根据基本要求设置安全管理机构的组织形式和运作方式，明确岗位职责；</w:t>
      </w:r>
    </w:p>
    <w:p w14:paraId="0DA90C32">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设置安全管理岗位，设立系统管理员、网络管理员、安全管理员等岗位，根据要求进行人员配备，配备专职安全员；</w:t>
      </w:r>
    </w:p>
    <w:p w14:paraId="06A342C7">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成立指导和管理信息安全工作的委员会或领导小组，其最高领导由单位单位主管领导委任或授权；</w:t>
      </w:r>
    </w:p>
    <w:p w14:paraId="3BD9B816">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制定文件明确安全管理机构各个部门和岗位的职责、分工和技能要求。</w:t>
      </w:r>
    </w:p>
    <w:p w14:paraId="12CF5C88">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建立授权与审批制度；</w:t>
      </w:r>
    </w:p>
    <w:p w14:paraId="4EA9C5ED">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建立内外部沟通合作渠道；</w:t>
      </w:r>
    </w:p>
    <w:p w14:paraId="26462657">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定期进行全面安全检查，特别是系统日常运行、系统漏洞和数据备份等。</w:t>
      </w:r>
    </w:p>
    <w:p w14:paraId="31CAF704">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人员安全管理主要包括人员录用、离岗、考核、教育培训等内容。</w:t>
      </w:r>
    </w:p>
    <w:p w14:paraId="6B013717">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一般单位都有统一的人事管理部门负责人员管理，这里的人员安全管理主要指对关键岗位人员进行的以安全为核心的管理，例如对关键岗位的人员采取在录用或上岗前进行全面、严格的安全审查和技能考核，与关键岗位人员签署保密协议，对离岗人员撤销系统帐户和相关权限等措施。</w:t>
      </w:r>
    </w:p>
    <w:p w14:paraId="27496DBD">
      <w:pPr>
        <w:widowControl w:val="0"/>
        <w:numPr>
          <w:ilvl w:val="0"/>
          <w:numId w:val="4"/>
        </w:numPr>
        <w:ind w:left="0" w:leftChars="0" w:firstLine="480" w:firstLineChars="200"/>
        <w:rPr>
          <w:rFonts w:ascii="宋体" w:hAnsi="宋体"/>
          <w:color w:val="auto"/>
          <w:highlight w:val="none"/>
        </w:rPr>
      </w:pPr>
      <w:r>
        <w:rPr>
          <w:rFonts w:hint="eastAsia" w:ascii="宋体" w:hAnsi="宋体"/>
          <w:color w:val="auto"/>
          <w:highlight w:val="none"/>
        </w:rPr>
        <w:t>只有注重对安全管理人员的培养，提高其安全防范意识，才能做到安全有效的防范，因此需要对各类人员进行安全意识教育、岗位技能培训和相关安全技术培训。培训的内容包括单位的信息安全方针、信息安全方面的基础知识、安全技术、安全标准、岗位操作规程、最新的工作流程、相关的安全责任要求、法律责任和惩戒措施等。</w:t>
      </w:r>
    </w:p>
    <w:p w14:paraId="5FE7E08A">
      <w:pPr>
        <w:pStyle w:val="8"/>
        <w:bidi w:val="0"/>
        <w:ind w:left="864" w:leftChars="0" w:hanging="864" w:firstLineChars="0"/>
      </w:pPr>
      <w:bookmarkStart w:id="54" w:name="_Toc19793810"/>
      <w:bookmarkStart w:id="55" w:name="_Toc633"/>
      <w:r>
        <w:rPr>
          <w:rFonts w:hint="eastAsia"/>
        </w:rPr>
        <w:t>安全建设管理</w:t>
      </w:r>
      <w:bookmarkEnd w:id="54"/>
      <w:bookmarkEnd w:id="55"/>
    </w:p>
    <w:p w14:paraId="23EE251E">
      <w:pPr>
        <w:ind w:firstLine="480" w:firstLineChars="200"/>
        <w:rPr>
          <w:rFonts w:ascii="宋体" w:hAnsi="宋体"/>
          <w:color w:val="auto"/>
          <w:highlight w:val="none"/>
        </w:rPr>
      </w:pPr>
      <w:r>
        <w:rPr>
          <w:rFonts w:hint="eastAsia" w:ascii="宋体" w:hAnsi="宋体"/>
          <w:color w:val="auto"/>
          <w:highlight w:val="none"/>
        </w:rPr>
        <w:t>系统建设管理的重点是与系统建设活动相关的过程管理，由于主要的建设活动是由服务方，如集成方、开发方、测评方、安全服务方等完成，单位的主要工作是对之进行管理，应制定系统建设相关的管理制度，明确系统定级备案、方案设计、产品采购使用、软件开发、工程实施、验收交付、等级测评、安全服务等活动的管理责任部门、具体的管理内容和控制方法，并按照管理制度落实各项管理措施，完整保存相关的管理记录和过程文档。</w:t>
      </w:r>
    </w:p>
    <w:p w14:paraId="09EC1E65">
      <w:pPr>
        <w:pStyle w:val="8"/>
        <w:bidi w:val="0"/>
        <w:ind w:left="864" w:leftChars="0" w:hanging="864" w:firstLineChars="0"/>
      </w:pPr>
      <w:bookmarkStart w:id="56" w:name="_Toc19472"/>
      <w:bookmarkStart w:id="57" w:name="_Toc19793811"/>
      <w:r>
        <w:rPr>
          <w:rFonts w:hint="eastAsia"/>
        </w:rPr>
        <w:t>安全运维管理</w:t>
      </w:r>
      <w:bookmarkEnd w:id="56"/>
      <w:bookmarkEnd w:id="57"/>
    </w:p>
    <w:p w14:paraId="5A6A26F3">
      <w:pPr>
        <w:ind w:firstLine="480" w:firstLineChars="200"/>
        <w:rPr>
          <w:rFonts w:ascii="宋体" w:hAnsi="宋体"/>
          <w:color w:val="auto"/>
          <w:highlight w:val="none"/>
        </w:rPr>
      </w:pPr>
      <w:r>
        <w:rPr>
          <w:rFonts w:hint="eastAsia" w:ascii="宋体" w:hAnsi="宋体"/>
          <w:color w:val="auto"/>
          <w:highlight w:val="none"/>
        </w:rPr>
        <w:t>（1）环境和资产安全管理制度</w:t>
      </w:r>
    </w:p>
    <w:p w14:paraId="39FAA813">
      <w:pPr>
        <w:ind w:firstLine="480" w:firstLineChars="200"/>
        <w:rPr>
          <w:rFonts w:ascii="宋体" w:hAnsi="宋体"/>
          <w:color w:val="auto"/>
          <w:highlight w:val="none"/>
        </w:rPr>
      </w:pPr>
      <w:r>
        <w:rPr>
          <w:rFonts w:hint="eastAsia" w:ascii="宋体" w:hAnsi="宋体"/>
          <w:color w:val="auto"/>
          <w:highlight w:val="none"/>
        </w:rPr>
        <w:t>环境包括计算机、网络机房环境以及设置有网络终端的办公环境，明确环境安全管理的责任部门或责任人，加强对人员出入、来访人员的控制，对有关物理访问、物品进出和环境安全等方面作出规定。对重要区域设置门禁控制手段，或使用视频监控等措施。</w:t>
      </w:r>
    </w:p>
    <w:p w14:paraId="70A76CFF">
      <w:pPr>
        <w:ind w:firstLine="480" w:firstLineChars="200"/>
        <w:rPr>
          <w:rFonts w:ascii="宋体" w:hAnsi="宋体"/>
          <w:color w:val="auto"/>
          <w:highlight w:val="none"/>
        </w:rPr>
      </w:pPr>
      <w:r>
        <w:rPr>
          <w:rFonts w:hint="eastAsia" w:ascii="宋体" w:hAnsi="宋体"/>
          <w:color w:val="auto"/>
          <w:highlight w:val="none"/>
        </w:rPr>
        <w:t>资产包括介质、设备、设施、数据、软件、文档等，资产管理不等同于设备物资管理，而是从安全和信息系统角度对资产进行管理，将资产作为信息系统的组成部分，按其在信息系统中的作用进行管理。应明确资产安全管理的责任部门或责任人，对资产进行分类、标识，编制与信息系统相关的软件资产、硬件资产等资产清单。</w:t>
      </w:r>
    </w:p>
    <w:p w14:paraId="4BA1F751">
      <w:pPr>
        <w:ind w:firstLine="480" w:firstLineChars="200"/>
        <w:rPr>
          <w:rFonts w:ascii="宋体" w:hAnsi="宋体"/>
          <w:color w:val="auto"/>
          <w:highlight w:val="none"/>
        </w:rPr>
      </w:pPr>
      <w:r>
        <w:rPr>
          <w:rFonts w:hint="eastAsia" w:ascii="宋体" w:hAnsi="宋体"/>
          <w:color w:val="auto"/>
          <w:highlight w:val="none"/>
        </w:rPr>
        <w:t>（2）设备和介质安全管理制度</w:t>
      </w:r>
    </w:p>
    <w:p w14:paraId="41FD015E">
      <w:pPr>
        <w:ind w:firstLine="480" w:firstLineChars="200"/>
        <w:rPr>
          <w:rFonts w:ascii="宋体" w:hAnsi="宋体"/>
          <w:color w:val="auto"/>
          <w:highlight w:val="none"/>
        </w:rPr>
      </w:pPr>
      <w:r>
        <w:rPr>
          <w:rFonts w:hint="eastAsia" w:ascii="宋体" w:hAnsi="宋体"/>
          <w:color w:val="auto"/>
          <w:highlight w:val="none"/>
        </w:rPr>
        <w:t>明确配套设施、软硬件设备管理、维护的责任部门或责任人，对信息系统的各种软硬件设备采购、发放、领用、维护和维修等过程进行控制，对介质的存放、使用、维护和销毁等方面作出规定，加强对涉外维修、敏感数据销毁等过程的监督控制。</w:t>
      </w:r>
    </w:p>
    <w:p w14:paraId="4BFD065B">
      <w:pPr>
        <w:ind w:firstLine="480" w:firstLineChars="200"/>
        <w:rPr>
          <w:rFonts w:ascii="宋体" w:hAnsi="宋体"/>
          <w:color w:val="auto"/>
          <w:highlight w:val="none"/>
        </w:rPr>
      </w:pPr>
      <w:r>
        <w:rPr>
          <w:rFonts w:hint="eastAsia" w:ascii="宋体" w:hAnsi="宋体"/>
          <w:color w:val="auto"/>
          <w:highlight w:val="none"/>
        </w:rPr>
        <w:t>（3）日常运行维护制度</w:t>
      </w:r>
    </w:p>
    <w:p w14:paraId="1C3BFE36">
      <w:pPr>
        <w:ind w:firstLine="480" w:firstLineChars="200"/>
        <w:rPr>
          <w:rFonts w:ascii="宋体" w:hAnsi="宋体"/>
          <w:color w:val="auto"/>
          <w:highlight w:val="none"/>
        </w:rPr>
      </w:pPr>
      <w:r>
        <w:rPr>
          <w:rFonts w:hint="eastAsia" w:ascii="宋体" w:hAnsi="宋体"/>
          <w:color w:val="auto"/>
          <w:highlight w:val="none"/>
        </w:rPr>
        <w:t>明确网络、系统日常运行维护的责任部门或责任人，对运行管理中的日常操作、账号管理、安全配置、日志管理、补丁升级、口令更新等过程进行控制和管理；制订设备操作管理、业务应用操作管理、变更控制和重用管理、信息交换管理相应的管理制度；制定与信息系统安全管理相配套的规范和操作规程并落实执行；正确实施为信息系统可靠运行而采取的各种检测、监控、审计、分析、备份及容错等方法和措施，对运行安全进行监督检查。</w:t>
      </w:r>
    </w:p>
    <w:p w14:paraId="4A806296">
      <w:pPr>
        <w:ind w:firstLine="480" w:firstLineChars="200"/>
        <w:rPr>
          <w:rFonts w:ascii="宋体" w:hAnsi="宋体"/>
          <w:color w:val="auto"/>
          <w:highlight w:val="none"/>
        </w:rPr>
      </w:pPr>
      <w:r>
        <w:rPr>
          <w:rFonts w:hint="eastAsia" w:ascii="宋体" w:hAnsi="宋体"/>
          <w:color w:val="auto"/>
          <w:highlight w:val="none"/>
        </w:rPr>
        <w:t>（4）集中安全管理制度</w:t>
      </w:r>
    </w:p>
    <w:p w14:paraId="5299E635">
      <w:pPr>
        <w:ind w:firstLine="480" w:firstLineChars="200"/>
        <w:rPr>
          <w:rFonts w:ascii="宋体" w:hAnsi="宋体"/>
          <w:color w:val="auto"/>
          <w:highlight w:val="none"/>
        </w:rPr>
      </w:pPr>
      <w:r>
        <w:rPr>
          <w:rFonts w:hint="eastAsia" w:ascii="宋体" w:hAnsi="宋体"/>
          <w:color w:val="auto"/>
          <w:highlight w:val="none"/>
        </w:rPr>
        <w:t>第</w:t>
      </w:r>
      <w:r>
        <w:rPr>
          <w:rFonts w:hint="eastAsia" w:ascii="宋体" w:hAnsi="宋体"/>
          <w:color w:val="auto"/>
          <w:highlight w:val="none"/>
          <w:lang w:val="en-US"/>
        </w:rPr>
        <w:t>二</w:t>
      </w:r>
      <w:r>
        <w:rPr>
          <w:rFonts w:hint="eastAsia" w:ascii="宋体" w:hAnsi="宋体"/>
          <w:color w:val="auto"/>
          <w:highlight w:val="none"/>
        </w:rPr>
        <w:t>级以上信息系统应按照统一的安全策略、安全管理要求，统一管理信息系统的安全运行，进行安全机制的配置与管理，对设备安全配置、恶意代码、补丁升级、安全审计等进行管理，对与安全有关的信息进行汇集与分析，对安全机制进行集中管理。</w:t>
      </w:r>
    </w:p>
    <w:p w14:paraId="4DB25C58">
      <w:pPr>
        <w:ind w:firstLine="480" w:firstLineChars="200"/>
        <w:rPr>
          <w:rFonts w:ascii="宋体" w:hAnsi="宋体"/>
          <w:color w:val="auto"/>
          <w:highlight w:val="none"/>
        </w:rPr>
      </w:pPr>
      <w:r>
        <w:rPr>
          <w:rFonts w:hint="eastAsia" w:ascii="宋体" w:hAnsi="宋体"/>
          <w:color w:val="auto"/>
          <w:highlight w:val="none"/>
        </w:rPr>
        <w:t>（5）事件处置与应急响应制度</w:t>
      </w:r>
    </w:p>
    <w:p w14:paraId="52224CD5">
      <w:pPr>
        <w:ind w:firstLine="480" w:firstLineChars="200"/>
        <w:rPr>
          <w:rFonts w:ascii="宋体" w:hAnsi="宋体"/>
          <w:color w:val="auto"/>
          <w:highlight w:val="none"/>
        </w:rPr>
      </w:pPr>
      <w:r>
        <w:rPr>
          <w:rFonts w:hint="eastAsia" w:ascii="宋体" w:hAnsi="宋体"/>
          <w:color w:val="auto"/>
          <w:highlight w:val="none"/>
        </w:rPr>
        <w:t>按照国家有关标准规定，确定信息安全事件的等级。结合信息系统安全保护等级，制定信息安全事件分级应急处置预案，明确应急处置策略，落实应急指挥部门、执行部门和技术支撑部门，建立应急协调机制。落实安全事件报告制度，第</w:t>
      </w:r>
      <w:r>
        <w:rPr>
          <w:rFonts w:hint="eastAsia" w:ascii="宋体" w:hAnsi="宋体"/>
          <w:color w:val="auto"/>
          <w:highlight w:val="none"/>
          <w:lang w:val="en-US"/>
        </w:rPr>
        <w:t>二</w:t>
      </w:r>
      <w:r>
        <w:rPr>
          <w:rFonts w:hint="eastAsia" w:ascii="宋体" w:hAnsi="宋体"/>
          <w:color w:val="auto"/>
          <w:highlight w:val="none"/>
        </w:rPr>
        <w:t>级以上信息系统发生较大、重大、特别重大安全事件时，单位应按照相应预案开展应急处置，并及时向受理备案的公安机关报告。组织应急技术支撑力量和专家队伍，按照应急预案定期组织开展应急演练。</w:t>
      </w:r>
    </w:p>
    <w:p w14:paraId="2D47E5DC">
      <w:pPr>
        <w:ind w:firstLine="480" w:firstLineChars="200"/>
        <w:rPr>
          <w:rFonts w:ascii="宋体" w:hAnsi="宋体"/>
          <w:color w:val="auto"/>
          <w:highlight w:val="none"/>
        </w:rPr>
      </w:pPr>
      <w:r>
        <w:rPr>
          <w:rFonts w:hint="eastAsia" w:ascii="宋体" w:hAnsi="宋体"/>
          <w:color w:val="auto"/>
          <w:highlight w:val="none"/>
        </w:rPr>
        <w:t>（6）灾难备份制度</w:t>
      </w:r>
    </w:p>
    <w:p w14:paraId="75F03144">
      <w:pPr>
        <w:ind w:firstLine="480" w:firstLineChars="200"/>
        <w:rPr>
          <w:rFonts w:ascii="宋体" w:hAnsi="宋体"/>
          <w:color w:val="auto"/>
          <w:highlight w:val="none"/>
        </w:rPr>
      </w:pPr>
      <w:r>
        <w:rPr>
          <w:rFonts w:hint="eastAsia" w:ascii="宋体" w:hAnsi="宋体"/>
          <w:color w:val="auto"/>
          <w:highlight w:val="none"/>
        </w:rPr>
        <w:t>要对第</w:t>
      </w:r>
      <w:r>
        <w:rPr>
          <w:rFonts w:hint="eastAsia" w:ascii="宋体" w:hAnsi="宋体"/>
          <w:color w:val="auto"/>
          <w:highlight w:val="none"/>
          <w:lang w:val="en-US"/>
        </w:rPr>
        <w:t>二</w:t>
      </w:r>
      <w:r>
        <w:rPr>
          <w:rFonts w:hint="eastAsia" w:ascii="宋体" w:hAnsi="宋体"/>
          <w:color w:val="auto"/>
          <w:highlight w:val="none"/>
        </w:rPr>
        <w:t>级以上信息系统采取灾难备份措施，防止重大事故、事件发生。识别需要定期备份的重要业务信息、系统数据及软件系统等，制定数据的备份策略和恢复策略，建立备份与恢复管理相关的安全管理制度。</w:t>
      </w:r>
    </w:p>
    <w:p w14:paraId="36FA2649">
      <w:pPr>
        <w:ind w:firstLine="480" w:firstLineChars="200"/>
        <w:rPr>
          <w:rFonts w:ascii="宋体" w:hAnsi="宋体"/>
          <w:color w:val="auto"/>
          <w:highlight w:val="none"/>
        </w:rPr>
      </w:pPr>
      <w:r>
        <w:rPr>
          <w:rFonts w:hint="eastAsia" w:ascii="宋体" w:hAnsi="宋体"/>
          <w:color w:val="auto"/>
          <w:highlight w:val="none"/>
        </w:rPr>
        <w:t>（7）安全监测制度</w:t>
      </w:r>
    </w:p>
    <w:p w14:paraId="12E7F836">
      <w:pPr>
        <w:ind w:firstLine="480" w:firstLineChars="200"/>
        <w:rPr>
          <w:rFonts w:ascii="宋体" w:hAnsi="宋体"/>
          <w:color w:val="auto"/>
          <w:highlight w:val="none"/>
        </w:rPr>
      </w:pPr>
      <w:r>
        <w:rPr>
          <w:rFonts w:hint="eastAsia" w:ascii="宋体" w:hAnsi="宋体"/>
          <w:color w:val="auto"/>
          <w:highlight w:val="none"/>
        </w:rPr>
        <w:t>开展信息系统实时安全监测，实现对物理环境、通信线路、主机、网络设备、用户行为和业务应用等的监测和报警，及时发现设备故障、病毒入侵、黑客攻击、误用和误操作等安全事件，以便及时对安全事件进行响应与处置。</w:t>
      </w:r>
    </w:p>
    <w:p w14:paraId="648DD71A">
      <w:pPr>
        <w:ind w:firstLine="480" w:firstLineChars="200"/>
        <w:rPr>
          <w:rFonts w:ascii="宋体" w:hAnsi="宋体"/>
          <w:color w:val="auto"/>
          <w:highlight w:val="none"/>
        </w:rPr>
      </w:pPr>
      <w:r>
        <w:rPr>
          <w:rFonts w:hint="eastAsia" w:ascii="宋体" w:hAnsi="宋体"/>
          <w:color w:val="auto"/>
          <w:highlight w:val="none"/>
        </w:rPr>
        <w:t>（8）其他制度</w:t>
      </w:r>
    </w:p>
    <w:p w14:paraId="6B1CF517">
      <w:pPr>
        <w:ind w:firstLine="480" w:firstLineChars="200"/>
        <w:rPr>
          <w:rFonts w:ascii="宋体" w:hAnsi="宋体"/>
          <w:color w:val="auto"/>
          <w:highlight w:val="none"/>
        </w:rPr>
      </w:pPr>
      <w:r>
        <w:rPr>
          <w:rFonts w:hint="eastAsia" w:ascii="宋体" w:hAnsi="宋体"/>
          <w:color w:val="auto"/>
          <w:highlight w:val="none"/>
        </w:rPr>
        <w:t>对系统运行维护过程中的其它活动，如系统变更、密码使用等进行控制和管理。按国家密码管理部门的规定，对信息系统中密码算法和密钥的使用进行分级管理。</w:t>
      </w:r>
    </w:p>
    <w:p w14:paraId="348A2D95">
      <w:pPr>
        <w:pStyle w:val="8"/>
        <w:bidi w:val="0"/>
        <w:ind w:left="864" w:leftChars="0" w:hanging="864" w:firstLineChars="0"/>
      </w:pPr>
      <w:bookmarkStart w:id="58" w:name="_Toc19793812"/>
      <w:bookmarkStart w:id="59" w:name="_Toc17635"/>
      <w:r>
        <w:rPr>
          <w:rFonts w:hint="eastAsia"/>
        </w:rPr>
        <w:t>安全管理制度汇总</w:t>
      </w:r>
      <w:bookmarkEnd w:id="58"/>
      <w:bookmarkEnd w:id="59"/>
    </w:p>
    <w:p w14:paraId="7539424C">
      <w:pPr>
        <w:ind w:firstLine="480" w:firstLineChars="200"/>
        <w:rPr>
          <w:rFonts w:ascii="宋体" w:hAnsi="宋体"/>
          <w:color w:val="auto"/>
          <w:highlight w:val="none"/>
        </w:rPr>
      </w:pPr>
      <w:r>
        <w:rPr>
          <w:rFonts w:hint="eastAsia" w:ascii="宋体" w:hAnsi="宋体"/>
          <w:color w:val="auto"/>
          <w:highlight w:val="none"/>
        </w:rPr>
        <w:t>制定安全检查制度，明确检查的内容、方式、要求等，检查各项制度、措施的落实情况，并不断完善。定期对信息系统安全状况进行自查，第</w:t>
      </w:r>
      <w:r>
        <w:rPr>
          <w:rFonts w:hint="eastAsia" w:ascii="宋体" w:hAnsi="宋体"/>
          <w:color w:val="auto"/>
          <w:highlight w:val="none"/>
          <w:lang w:val="en-US"/>
        </w:rPr>
        <w:t>二</w:t>
      </w:r>
      <w:r>
        <w:rPr>
          <w:rFonts w:hint="eastAsia" w:ascii="宋体" w:hAnsi="宋体"/>
          <w:color w:val="auto"/>
          <w:highlight w:val="none"/>
        </w:rPr>
        <w:t>级信息系统每</w:t>
      </w:r>
      <w:r>
        <w:rPr>
          <w:rFonts w:hint="eastAsia" w:ascii="宋体" w:hAnsi="宋体"/>
          <w:color w:val="auto"/>
          <w:highlight w:val="none"/>
          <w:lang w:val="en-US"/>
        </w:rPr>
        <w:t>2</w:t>
      </w:r>
      <w:r>
        <w:rPr>
          <w:rFonts w:hint="eastAsia" w:ascii="宋体" w:hAnsi="宋体"/>
          <w:color w:val="auto"/>
          <w:highlight w:val="none"/>
        </w:rPr>
        <w:t>年自查一次，第</w:t>
      </w:r>
      <w:r>
        <w:rPr>
          <w:rFonts w:hint="eastAsia" w:ascii="宋体" w:hAnsi="宋体"/>
          <w:color w:val="auto"/>
          <w:highlight w:val="none"/>
          <w:lang w:val="en-US"/>
        </w:rPr>
        <w:t>三</w:t>
      </w:r>
      <w:r>
        <w:rPr>
          <w:rFonts w:hint="eastAsia" w:ascii="宋体" w:hAnsi="宋体"/>
          <w:color w:val="auto"/>
          <w:highlight w:val="none"/>
        </w:rPr>
        <w:t>级信息系统每年自查一次。经自查，信息系统安全状况未达到安全保护等级要求的，应当进一步开展整改。</w:t>
      </w:r>
    </w:p>
    <w:p w14:paraId="219AD3D9">
      <w:pPr>
        <w:ind w:firstLine="480" w:firstLineChars="200"/>
        <w:rPr>
          <w:rFonts w:ascii="宋体" w:hAnsi="宋体"/>
          <w:color w:val="auto"/>
          <w:highlight w:val="none"/>
        </w:rPr>
      </w:pPr>
      <w:r>
        <w:rPr>
          <w:rFonts w:hint="eastAsia" w:ascii="宋体" w:hAnsi="宋体"/>
          <w:color w:val="auto"/>
          <w:highlight w:val="none"/>
        </w:rPr>
        <w:t>最终提交安全制度包括但不限于以下内容：</w:t>
      </w:r>
    </w:p>
    <w:p w14:paraId="1484A96C">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网络信息安全管理办法</w:t>
      </w:r>
    </w:p>
    <w:p w14:paraId="6162BE07">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制度制定和发布管理</w:t>
      </w:r>
    </w:p>
    <w:p w14:paraId="48BB0206">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网络信息安全责任制检查考核制度</w:t>
      </w:r>
    </w:p>
    <w:p w14:paraId="5B27C0C3">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信息系统人员安全管理制度</w:t>
      </w:r>
    </w:p>
    <w:p w14:paraId="4FCC0BBB">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关键工作岗位人员背景审查制度</w:t>
      </w:r>
    </w:p>
    <w:p w14:paraId="31A3611C">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个人信息保护制度</w:t>
      </w:r>
    </w:p>
    <w:p w14:paraId="33157E66">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外部人员管理制度</w:t>
      </w:r>
    </w:p>
    <w:p w14:paraId="1EBC304C">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机房安全管理制度</w:t>
      </w:r>
    </w:p>
    <w:p w14:paraId="79E57A26">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信息资产和设备管理制度</w:t>
      </w:r>
    </w:p>
    <w:p w14:paraId="1680E8B5">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介质安全管理制度</w:t>
      </w:r>
    </w:p>
    <w:p w14:paraId="6FA20C74">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配置变更管理制度</w:t>
      </w:r>
    </w:p>
    <w:p w14:paraId="4582AC98">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数据备份与恢复管理制度</w:t>
      </w:r>
    </w:p>
    <w:p w14:paraId="243F0190">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网络信息系统安全重大事项报告和处置管理制度</w:t>
      </w:r>
    </w:p>
    <w:p w14:paraId="6162C1A2">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网络信息安全事件应急预案</w:t>
      </w:r>
    </w:p>
    <w:p w14:paraId="613C2388">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系统安全管理制度</w:t>
      </w:r>
    </w:p>
    <w:p w14:paraId="01C50C66">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账户权限、口令管理制度</w:t>
      </w:r>
    </w:p>
    <w:p w14:paraId="35A66E17">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恶意代码防范管理制度</w:t>
      </w:r>
    </w:p>
    <w:p w14:paraId="50DBEF5C">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安全教育和培训管理制度</w:t>
      </w:r>
    </w:p>
    <w:p w14:paraId="15B05F52">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网络与信息系统安全设计规范</w:t>
      </w:r>
    </w:p>
    <w:p w14:paraId="07063A82">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工程实施管理制度</w:t>
      </w:r>
    </w:p>
    <w:p w14:paraId="135AF73D">
      <w:pPr>
        <w:widowControl w:val="0"/>
        <w:numPr>
          <w:ilvl w:val="0"/>
          <w:numId w:val="5"/>
        </w:numPr>
        <w:ind w:left="0" w:firstLine="480" w:firstLineChars="200"/>
        <w:rPr>
          <w:rFonts w:ascii="宋体" w:hAnsi="宋体"/>
          <w:color w:val="auto"/>
          <w:highlight w:val="none"/>
        </w:rPr>
      </w:pPr>
      <w:r>
        <w:rPr>
          <w:rFonts w:hint="eastAsia" w:ascii="宋体" w:hAnsi="宋体"/>
          <w:color w:val="auto"/>
          <w:highlight w:val="none"/>
        </w:rPr>
        <w:t>工程测试验收管理制度</w:t>
      </w:r>
    </w:p>
    <w:p w14:paraId="377CF7FC">
      <w:pPr>
        <w:pStyle w:val="8"/>
        <w:bidi w:val="0"/>
        <w:ind w:left="864" w:leftChars="0" w:hanging="864" w:firstLineChars="0"/>
      </w:pPr>
      <w:bookmarkStart w:id="60" w:name="_Toc481689121"/>
      <w:bookmarkStart w:id="61" w:name="_Toc1720"/>
      <w:bookmarkStart w:id="62" w:name="_Toc12753"/>
      <w:r>
        <w:rPr>
          <w:rFonts w:hint="eastAsia"/>
        </w:rPr>
        <w:t>安全运维体系设计</w:t>
      </w:r>
      <w:bookmarkEnd w:id="60"/>
      <w:bookmarkEnd w:id="61"/>
      <w:bookmarkEnd w:id="62"/>
    </w:p>
    <w:p w14:paraId="34050E92">
      <w:pPr>
        <w:ind w:firstLine="480" w:firstLineChars="200"/>
        <w:rPr>
          <w:rFonts w:ascii="宋体" w:hAnsi="宋体"/>
          <w:color w:val="auto"/>
          <w:highlight w:val="none"/>
        </w:rPr>
      </w:pPr>
      <w:r>
        <w:rPr>
          <w:rFonts w:hint="eastAsia" w:ascii="宋体" w:hAnsi="宋体"/>
          <w:color w:val="auto"/>
          <w:highlight w:val="none"/>
        </w:rPr>
        <w:t>根据用户当前安全运维需要和安全技术保障需要提出与信息系统安全总体方案中运维部分相适应的本期安全实施内容，以保证安全技术建设的同时，安全运维的同步建设，具体活动内容包括：</w:t>
      </w:r>
    </w:p>
    <w:p w14:paraId="226AE46C">
      <w:pPr>
        <w:ind w:firstLine="480" w:firstLineChars="200"/>
        <w:rPr>
          <w:rFonts w:ascii="宋体" w:hAnsi="宋体"/>
          <w:color w:val="auto"/>
          <w:highlight w:val="none"/>
        </w:rPr>
      </w:pPr>
      <w:r>
        <w:rPr>
          <w:rFonts w:hint="eastAsia" w:ascii="宋体" w:hAnsi="宋体"/>
          <w:color w:val="auto"/>
          <w:highlight w:val="none"/>
        </w:rPr>
        <w:t>结合系统实际安全运维需要和本次技术建设内容，确定本次安全运维建设的范围和内容，同时注意与信息系统安全总体方案的一致性。安全运维设计的内容主要考虑：日常安全运维、事件应急响应、系统加固与培训等。</w:t>
      </w:r>
    </w:p>
    <w:p w14:paraId="0DF8077E">
      <w:pPr>
        <w:pStyle w:val="9"/>
        <w:bidi w:val="0"/>
        <w:ind w:left="1008" w:leftChars="0" w:hanging="1008" w:firstLineChars="0"/>
      </w:pPr>
      <w:bookmarkStart w:id="63" w:name="_Toc7234"/>
      <w:r>
        <w:rPr>
          <w:rFonts w:hint="eastAsia"/>
        </w:rPr>
        <w:t>日常安全运维（定期巡检）</w:t>
      </w:r>
      <w:bookmarkEnd w:id="63"/>
    </w:p>
    <w:p w14:paraId="4A674850">
      <w:pPr>
        <w:ind w:firstLine="480" w:firstLineChars="200"/>
        <w:rPr>
          <w:rFonts w:ascii="宋体" w:hAnsi="宋体"/>
          <w:color w:val="auto"/>
          <w:highlight w:val="none"/>
        </w:rPr>
      </w:pPr>
      <w:r>
        <w:rPr>
          <w:rFonts w:hint="eastAsia" w:ascii="宋体" w:hAnsi="宋体"/>
          <w:color w:val="auto"/>
          <w:highlight w:val="none"/>
        </w:rPr>
        <w:t>协助</w:t>
      </w:r>
      <w:r>
        <w:rPr>
          <w:rFonts w:hint="eastAsia" w:ascii="宋体" w:hAnsi="宋体"/>
          <w:color w:val="auto"/>
          <w:highlight w:val="none"/>
          <w:lang w:val="en-US"/>
        </w:rPr>
        <w:t>用</w:t>
      </w:r>
      <w:r>
        <w:rPr>
          <w:rFonts w:hint="eastAsia" w:ascii="宋体" w:hAnsi="宋体"/>
          <w:color w:val="auto"/>
          <w:highlight w:val="none"/>
        </w:rPr>
        <w:t>户对</w:t>
      </w:r>
      <w:r>
        <w:rPr>
          <w:rFonts w:hint="eastAsia" w:ascii="宋体" w:hAnsi="宋体"/>
          <w:color w:val="auto"/>
          <w:highlight w:val="none"/>
          <w:lang w:val="en-US"/>
        </w:rPr>
        <w:t>核心网络设备、</w:t>
      </w:r>
      <w:r>
        <w:rPr>
          <w:rFonts w:hint="eastAsia" w:ascii="宋体" w:hAnsi="宋体"/>
          <w:color w:val="auto"/>
          <w:highlight w:val="none"/>
        </w:rPr>
        <w:t>安全设备进行日常维护、例行监控和巡检，并提供维护服务记录。</w:t>
      </w:r>
    </w:p>
    <w:p w14:paraId="49FECE84">
      <w:pPr>
        <w:widowControl w:val="0"/>
        <w:numPr>
          <w:ilvl w:val="0"/>
          <w:numId w:val="6"/>
        </w:numPr>
        <w:ind w:left="0" w:firstLine="480" w:firstLineChars="200"/>
        <w:rPr>
          <w:rFonts w:ascii="宋体" w:hAnsi="宋体"/>
          <w:color w:val="auto"/>
          <w:highlight w:val="none"/>
        </w:rPr>
      </w:pPr>
      <w:bookmarkStart w:id="64" w:name="_Toc201803840"/>
      <w:bookmarkStart w:id="65" w:name="_Toc3854"/>
      <w:bookmarkStart w:id="66" w:name="_Toc215993339"/>
      <w:r>
        <w:rPr>
          <w:rFonts w:hint="eastAsia" w:ascii="宋体" w:hAnsi="宋体"/>
          <w:color w:val="auto"/>
          <w:highlight w:val="none"/>
        </w:rPr>
        <w:t>巡检对象确定</w:t>
      </w:r>
      <w:bookmarkEnd w:id="64"/>
      <w:bookmarkEnd w:id="65"/>
      <w:bookmarkEnd w:id="66"/>
    </w:p>
    <w:p w14:paraId="599D9E12">
      <w:pPr>
        <w:ind w:firstLine="480" w:firstLineChars="200"/>
        <w:rPr>
          <w:rFonts w:ascii="宋体" w:hAnsi="宋体"/>
          <w:color w:val="auto"/>
          <w:highlight w:val="none"/>
        </w:rPr>
      </w:pPr>
      <w:r>
        <w:rPr>
          <w:rFonts w:hint="eastAsia" w:ascii="宋体" w:hAnsi="宋体"/>
          <w:color w:val="auto"/>
          <w:highlight w:val="none"/>
        </w:rPr>
        <w:t>安全关键点分析：</w:t>
      </w:r>
    </w:p>
    <w:p w14:paraId="3B4F08A1">
      <w:pPr>
        <w:ind w:firstLine="480" w:firstLineChars="200"/>
        <w:rPr>
          <w:rFonts w:ascii="宋体" w:hAnsi="宋体"/>
          <w:color w:val="auto"/>
          <w:highlight w:val="none"/>
        </w:rPr>
      </w:pPr>
      <w:r>
        <w:rPr>
          <w:rFonts w:hint="eastAsia" w:ascii="宋体" w:hAnsi="宋体"/>
          <w:color w:val="auto"/>
          <w:highlight w:val="none"/>
        </w:rPr>
        <w:t>对影响系统、业务安全性的关键要素进行分析，确定安全状态监控的对象，这些对象可包括防火墙、入侵</w:t>
      </w:r>
      <w:r>
        <w:rPr>
          <w:rFonts w:hint="eastAsia" w:ascii="宋体" w:hAnsi="宋体"/>
          <w:color w:val="auto"/>
          <w:highlight w:val="none"/>
          <w:lang w:val="en-US"/>
        </w:rPr>
        <w:t>防御</w:t>
      </w:r>
      <w:r>
        <w:rPr>
          <w:rFonts w:hint="eastAsia" w:ascii="宋体" w:hAnsi="宋体"/>
          <w:color w:val="auto"/>
          <w:highlight w:val="none"/>
        </w:rPr>
        <w:t>、</w:t>
      </w:r>
      <w:r>
        <w:rPr>
          <w:rFonts w:hint="eastAsia" w:ascii="宋体" w:hAnsi="宋体"/>
          <w:color w:val="auto"/>
          <w:highlight w:val="none"/>
          <w:lang w:val="en-US"/>
        </w:rPr>
        <w:t>上网行为管理系统、负载均衡、安管一体机、</w:t>
      </w:r>
      <w:r>
        <w:rPr>
          <w:rFonts w:hint="eastAsia" w:ascii="宋体" w:hAnsi="宋体"/>
          <w:color w:val="auto"/>
          <w:highlight w:val="none"/>
        </w:rPr>
        <w:t>核心交换机等系统范围内的对象。</w:t>
      </w:r>
    </w:p>
    <w:p w14:paraId="75F7E884">
      <w:pPr>
        <w:ind w:firstLine="480" w:firstLineChars="200"/>
        <w:rPr>
          <w:rFonts w:ascii="宋体" w:hAnsi="宋体"/>
          <w:color w:val="auto"/>
          <w:highlight w:val="none"/>
        </w:rPr>
      </w:pPr>
      <w:r>
        <w:rPr>
          <w:rFonts w:hint="eastAsia" w:ascii="宋体" w:hAnsi="宋体"/>
          <w:color w:val="auto"/>
          <w:highlight w:val="none"/>
        </w:rPr>
        <w:t>形成巡检对象列表：</w:t>
      </w:r>
    </w:p>
    <w:p w14:paraId="086D8AE6">
      <w:pPr>
        <w:ind w:firstLine="480" w:firstLineChars="200"/>
        <w:rPr>
          <w:rFonts w:ascii="宋体" w:hAnsi="宋体"/>
          <w:color w:val="auto"/>
          <w:highlight w:val="none"/>
        </w:rPr>
      </w:pPr>
      <w:r>
        <w:rPr>
          <w:rFonts w:hint="eastAsia" w:ascii="宋体" w:hAnsi="宋体"/>
          <w:color w:val="auto"/>
          <w:highlight w:val="none"/>
        </w:rPr>
        <w:t>根据确定的巡检对象，分析巡检的必要性和可行性，形成监控对象列表。</w:t>
      </w:r>
    </w:p>
    <w:p w14:paraId="09899C4D">
      <w:pPr>
        <w:widowControl w:val="0"/>
        <w:numPr>
          <w:ilvl w:val="0"/>
          <w:numId w:val="6"/>
        </w:numPr>
        <w:ind w:left="0" w:firstLine="480" w:firstLineChars="200"/>
        <w:rPr>
          <w:rFonts w:ascii="宋体" w:hAnsi="宋体"/>
          <w:color w:val="auto"/>
          <w:highlight w:val="none"/>
        </w:rPr>
      </w:pPr>
      <w:bookmarkStart w:id="67" w:name="_Toc215993340"/>
      <w:bookmarkStart w:id="68" w:name="_Toc201803841"/>
      <w:bookmarkStart w:id="69" w:name="_Toc23187"/>
      <w:r>
        <w:rPr>
          <w:rFonts w:hint="eastAsia" w:ascii="宋体" w:hAnsi="宋体"/>
          <w:color w:val="auto"/>
          <w:highlight w:val="none"/>
        </w:rPr>
        <w:t>巡检对象状态信息收集</w:t>
      </w:r>
      <w:bookmarkEnd w:id="67"/>
      <w:bookmarkEnd w:id="68"/>
      <w:bookmarkEnd w:id="69"/>
    </w:p>
    <w:p w14:paraId="1CC2CAB4">
      <w:pPr>
        <w:ind w:firstLine="480" w:firstLineChars="200"/>
        <w:rPr>
          <w:rFonts w:ascii="宋体" w:hAnsi="宋体"/>
          <w:color w:val="auto"/>
          <w:highlight w:val="none"/>
        </w:rPr>
      </w:pPr>
      <w:r>
        <w:rPr>
          <w:rFonts w:hint="eastAsia" w:ascii="宋体" w:hAnsi="宋体"/>
          <w:color w:val="auto"/>
          <w:highlight w:val="none"/>
        </w:rPr>
        <w:t>巡检工具：</w:t>
      </w:r>
    </w:p>
    <w:p w14:paraId="777AE728">
      <w:pPr>
        <w:ind w:firstLine="480" w:firstLineChars="200"/>
        <w:rPr>
          <w:rFonts w:ascii="宋体" w:hAnsi="宋体"/>
          <w:color w:val="auto"/>
          <w:highlight w:val="none"/>
        </w:rPr>
      </w:pPr>
      <w:r>
        <w:rPr>
          <w:rFonts w:hint="eastAsia" w:ascii="宋体" w:hAnsi="宋体"/>
          <w:color w:val="auto"/>
          <w:highlight w:val="none"/>
        </w:rPr>
        <w:t>根据巡检对象的特点、巡检管理的具体要求、巡检工具的功能、性能特点等，选择合适的巡检工具。建立完善的运维巡检体系。</w:t>
      </w:r>
    </w:p>
    <w:p w14:paraId="27E33EF1">
      <w:pPr>
        <w:ind w:firstLine="480" w:firstLineChars="200"/>
        <w:rPr>
          <w:rFonts w:ascii="宋体" w:hAnsi="宋体"/>
          <w:color w:val="auto"/>
          <w:highlight w:val="none"/>
        </w:rPr>
      </w:pPr>
      <w:r>
        <w:rPr>
          <w:rFonts w:hint="eastAsia" w:ascii="宋体" w:hAnsi="宋体"/>
          <w:color w:val="auto"/>
          <w:highlight w:val="none"/>
        </w:rPr>
        <w:t>状态信息收集：</w:t>
      </w:r>
    </w:p>
    <w:p w14:paraId="430E2087">
      <w:pPr>
        <w:ind w:firstLine="480" w:firstLineChars="200"/>
        <w:rPr>
          <w:rFonts w:ascii="宋体" w:hAnsi="宋体"/>
          <w:color w:val="auto"/>
          <w:highlight w:val="none"/>
        </w:rPr>
      </w:pPr>
      <w:r>
        <w:rPr>
          <w:rFonts w:hint="eastAsia" w:ascii="宋体" w:hAnsi="宋体"/>
          <w:color w:val="auto"/>
          <w:highlight w:val="none"/>
        </w:rPr>
        <w:t>整理备案巡检对象的各类状态信息，包括网络流量、日志信息、安全报警、性能状况、外部环境的安全标准和变更信息。</w:t>
      </w:r>
    </w:p>
    <w:p w14:paraId="4CE7E69A">
      <w:pPr>
        <w:widowControl w:val="0"/>
        <w:numPr>
          <w:ilvl w:val="0"/>
          <w:numId w:val="6"/>
        </w:numPr>
        <w:ind w:left="0" w:firstLine="480" w:firstLineChars="200"/>
        <w:rPr>
          <w:rFonts w:ascii="宋体" w:hAnsi="宋体"/>
          <w:color w:val="auto"/>
          <w:highlight w:val="none"/>
        </w:rPr>
      </w:pPr>
      <w:bookmarkStart w:id="70" w:name="_Toc215993341"/>
      <w:bookmarkStart w:id="71" w:name="_Toc201803842"/>
      <w:bookmarkStart w:id="72" w:name="_Toc3160"/>
      <w:r>
        <w:rPr>
          <w:rFonts w:hint="eastAsia" w:ascii="宋体" w:hAnsi="宋体"/>
          <w:color w:val="auto"/>
          <w:highlight w:val="none"/>
        </w:rPr>
        <w:t>巡检状态分析和报告</w:t>
      </w:r>
      <w:bookmarkEnd w:id="70"/>
      <w:bookmarkEnd w:id="71"/>
      <w:bookmarkEnd w:id="72"/>
    </w:p>
    <w:p w14:paraId="5484ECAC">
      <w:pPr>
        <w:ind w:firstLine="480" w:firstLineChars="200"/>
        <w:rPr>
          <w:rFonts w:ascii="宋体" w:hAnsi="宋体"/>
          <w:color w:val="auto"/>
          <w:highlight w:val="none"/>
        </w:rPr>
      </w:pPr>
      <w:r>
        <w:rPr>
          <w:rFonts w:hint="eastAsia" w:ascii="宋体" w:hAnsi="宋体"/>
          <w:color w:val="auto"/>
          <w:highlight w:val="none"/>
        </w:rPr>
        <w:t>状态分析：</w:t>
      </w:r>
    </w:p>
    <w:p w14:paraId="2AF92531">
      <w:pPr>
        <w:ind w:firstLine="480" w:firstLineChars="200"/>
        <w:rPr>
          <w:rFonts w:ascii="宋体" w:hAnsi="宋体"/>
          <w:color w:val="auto"/>
          <w:highlight w:val="none"/>
        </w:rPr>
      </w:pPr>
      <w:r>
        <w:rPr>
          <w:rFonts w:hint="eastAsia" w:ascii="宋体" w:hAnsi="宋体"/>
          <w:color w:val="auto"/>
          <w:highlight w:val="none"/>
        </w:rPr>
        <w:t>对安全状态信息进行分析，及时发现险情、隐患或安全事件，并记录这些安全事件，分析其发展趋势。</w:t>
      </w:r>
    </w:p>
    <w:p w14:paraId="4F31BBF2">
      <w:pPr>
        <w:ind w:firstLine="480" w:firstLineChars="200"/>
        <w:rPr>
          <w:rFonts w:ascii="宋体" w:hAnsi="宋体"/>
          <w:color w:val="auto"/>
          <w:highlight w:val="none"/>
        </w:rPr>
      </w:pPr>
      <w:r>
        <w:rPr>
          <w:rFonts w:hint="eastAsia" w:ascii="宋体" w:hAnsi="宋体"/>
          <w:color w:val="auto"/>
          <w:highlight w:val="none"/>
        </w:rPr>
        <w:t>影响分析：</w:t>
      </w:r>
    </w:p>
    <w:p w14:paraId="1616D134">
      <w:pPr>
        <w:ind w:firstLine="480" w:firstLineChars="200"/>
        <w:rPr>
          <w:rFonts w:ascii="宋体" w:hAnsi="宋体"/>
          <w:color w:val="auto"/>
          <w:highlight w:val="none"/>
        </w:rPr>
      </w:pPr>
      <w:r>
        <w:rPr>
          <w:rFonts w:hint="eastAsia" w:ascii="宋体" w:hAnsi="宋体"/>
          <w:color w:val="auto"/>
          <w:highlight w:val="none"/>
        </w:rPr>
        <w:t>根据对安全状况变化的分析，分析这些变化对安全的影响，通过判断他们的影响决定是否有必要作出响应。</w:t>
      </w:r>
    </w:p>
    <w:p w14:paraId="0D27DFF4">
      <w:pPr>
        <w:ind w:firstLine="480" w:firstLineChars="200"/>
        <w:rPr>
          <w:rFonts w:ascii="宋体" w:hAnsi="宋体"/>
          <w:color w:val="auto"/>
          <w:highlight w:val="none"/>
        </w:rPr>
      </w:pPr>
      <w:r>
        <w:rPr>
          <w:rFonts w:hint="eastAsia" w:ascii="宋体" w:hAnsi="宋体"/>
          <w:color w:val="auto"/>
          <w:highlight w:val="none"/>
        </w:rPr>
        <w:t>形成安全状态分析报告：</w:t>
      </w:r>
    </w:p>
    <w:p w14:paraId="56712AFA">
      <w:pPr>
        <w:ind w:firstLine="480" w:firstLineChars="200"/>
        <w:rPr>
          <w:rFonts w:ascii="宋体" w:hAnsi="宋体"/>
          <w:color w:val="auto"/>
          <w:highlight w:val="none"/>
        </w:rPr>
      </w:pPr>
      <w:r>
        <w:rPr>
          <w:rFonts w:hint="eastAsia" w:ascii="宋体" w:hAnsi="宋体"/>
          <w:color w:val="auto"/>
          <w:highlight w:val="none"/>
        </w:rPr>
        <w:t>根据安全状态分析和影响分析的结果，形成安全状态分析报告，上报</w:t>
      </w:r>
      <w:r>
        <w:rPr>
          <w:rFonts w:hint="eastAsia" w:ascii="宋体" w:hAnsi="宋体"/>
          <w:color w:val="auto"/>
          <w:highlight w:val="none"/>
          <w:lang w:val="en-US"/>
        </w:rPr>
        <w:t>用</w:t>
      </w:r>
      <w:r>
        <w:rPr>
          <w:rFonts w:hint="eastAsia" w:ascii="宋体" w:hAnsi="宋体"/>
          <w:color w:val="auto"/>
          <w:highlight w:val="none"/>
        </w:rPr>
        <w:t>户安全事件或启动应急预案。</w:t>
      </w:r>
    </w:p>
    <w:p w14:paraId="3B07629F">
      <w:pPr>
        <w:pStyle w:val="9"/>
        <w:bidi w:val="0"/>
        <w:ind w:left="1008" w:leftChars="0" w:hanging="1008" w:firstLineChars="0"/>
      </w:pPr>
      <w:bookmarkStart w:id="73" w:name="_Toc354917324"/>
      <w:bookmarkStart w:id="74" w:name="_Toc230415425"/>
      <w:bookmarkStart w:id="75" w:name="_Toc215993333"/>
      <w:bookmarkStart w:id="76" w:name="_Toc25327"/>
      <w:bookmarkStart w:id="77" w:name="_Toc481689123"/>
      <w:r>
        <w:rPr>
          <w:rFonts w:hint="eastAsia"/>
        </w:rPr>
        <w:t>周期性安全加固</w:t>
      </w:r>
      <w:bookmarkEnd w:id="73"/>
      <w:bookmarkEnd w:id="74"/>
      <w:bookmarkEnd w:id="75"/>
      <w:bookmarkEnd w:id="76"/>
      <w:bookmarkEnd w:id="77"/>
    </w:p>
    <w:p w14:paraId="2B1D9442">
      <w:pPr>
        <w:widowControl w:val="0"/>
        <w:numPr>
          <w:ilvl w:val="0"/>
          <w:numId w:val="6"/>
        </w:numPr>
        <w:ind w:left="0" w:firstLine="480" w:firstLineChars="200"/>
        <w:rPr>
          <w:rFonts w:ascii="宋体" w:hAnsi="宋体"/>
          <w:color w:val="auto"/>
          <w:highlight w:val="none"/>
        </w:rPr>
      </w:pPr>
      <w:bookmarkStart w:id="78" w:name="_Toc215993334"/>
      <w:r>
        <w:rPr>
          <w:rFonts w:hint="eastAsia" w:ascii="宋体" w:hAnsi="宋体"/>
          <w:color w:val="auto"/>
          <w:highlight w:val="none"/>
        </w:rPr>
        <w:t>网络设备加固</w:t>
      </w:r>
      <w:bookmarkEnd w:id="78"/>
    </w:p>
    <w:p w14:paraId="258DED97">
      <w:pPr>
        <w:ind w:firstLine="480" w:firstLineChars="200"/>
        <w:rPr>
          <w:rFonts w:ascii="宋体" w:hAnsi="宋体"/>
          <w:color w:val="auto"/>
          <w:highlight w:val="none"/>
        </w:rPr>
      </w:pPr>
      <w:r>
        <w:rPr>
          <w:rFonts w:hint="eastAsia" w:ascii="宋体" w:hAnsi="宋体"/>
          <w:color w:val="auto"/>
          <w:highlight w:val="none"/>
        </w:rPr>
        <w:t>网络设备的加固，是通过对人工评估对网络设备的配置进行评估，通过评估出的问题，进行安全加固，在进行安全加固前，应该对加固的配置进行检验，防止因为加固而导致网络的崩溃。在加固过程中，主要对以下内容进行加固：</w:t>
      </w:r>
    </w:p>
    <w:p w14:paraId="5E641A03">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口令安全规范</w:t>
      </w:r>
    </w:p>
    <w:p w14:paraId="1046C14D">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访问安全规范</w:t>
      </w:r>
    </w:p>
    <w:p w14:paraId="31BDBF38">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日志安全规范</w:t>
      </w:r>
    </w:p>
    <w:p w14:paraId="7E7209E9">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其它安全规范</w:t>
      </w:r>
    </w:p>
    <w:p w14:paraId="4B42C936">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路由协议安全规范</w:t>
      </w:r>
    </w:p>
    <w:p w14:paraId="091AF9C3">
      <w:pPr>
        <w:widowControl w:val="0"/>
        <w:numPr>
          <w:ilvl w:val="0"/>
          <w:numId w:val="6"/>
        </w:numPr>
        <w:ind w:left="0" w:firstLine="480" w:firstLineChars="200"/>
        <w:rPr>
          <w:rFonts w:ascii="宋体" w:hAnsi="宋体"/>
          <w:color w:val="auto"/>
          <w:highlight w:val="none"/>
        </w:rPr>
      </w:pPr>
      <w:bookmarkStart w:id="79" w:name="_Toc215993335"/>
      <w:r>
        <w:rPr>
          <w:rFonts w:hint="eastAsia" w:ascii="宋体" w:hAnsi="宋体"/>
          <w:color w:val="auto"/>
          <w:highlight w:val="none"/>
        </w:rPr>
        <w:t>安全设备加固</w:t>
      </w:r>
      <w:bookmarkEnd w:id="79"/>
    </w:p>
    <w:p w14:paraId="29537121">
      <w:pPr>
        <w:ind w:firstLine="480" w:firstLineChars="200"/>
        <w:rPr>
          <w:rFonts w:ascii="宋体" w:hAnsi="宋体"/>
          <w:color w:val="auto"/>
          <w:highlight w:val="none"/>
        </w:rPr>
      </w:pPr>
      <w:r>
        <w:rPr>
          <w:rFonts w:hint="eastAsia" w:ascii="宋体" w:hAnsi="宋体"/>
          <w:color w:val="auto"/>
          <w:highlight w:val="none"/>
        </w:rPr>
        <w:t>对网络安全设备进行加固，主要加固对象为防火墙、交换机、IPS系统。</w:t>
      </w:r>
    </w:p>
    <w:p w14:paraId="10A8D54D">
      <w:pPr>
        <w:widowControl w:val="0"/>
        <w:numPr>
          <w:ilvl w:val="0"/>
          <w:numId w:val="6"/>
        </w:numPr>
        <w:ind w:left="0" w:firstLine="480" w:firstLineChars="200"/>
        <w:rPr>
          <w:rFonts w:ascii="宋体" w:hAnsi="宋体"/>
          <w:color w:val="auto"/>
          <w:highlight w:val="none"/>
        </w:rPr>
      </w:pPr>
      <w:r>
        <w:rPr>
          <w:rFonts w:hint="eastAsia" w:ascii="宋体" w:hAnsi="宋体"/>
          <w:color w:val="auto"/>
          <w:highlight w:val="none"/>
        </w:rPr>
        <w:t>安全域的划分：</w:t>
      </w:r>
    </w:p>
    <w:p w14:paraId="20D12DC5">
      <w:pPr>
        <w:ind w:firstLine="480" w:firstLineChars="200"/>
        <w:rPr>
          <w:rFonts w:ascii="宋体" w:hAnsi="宋体"/>
          <w:color w:val="auto"/>
          <w:highlight w:val="none"/>
        </w:rPr>
      </w:pPr>
      <w:r>
        <w:rPr>
          <w:rFonts w:hint="eastAsia" w:ascii="宋体" w:hAnsi="宋体"/>
          <w:color w:val="auto"/>
          <w:highlight w:val="none"/>
        </w:rPr>
        <w:t>根据评估结果确定防火墙划分的安全域（内、医院办公外网及DMZ区）是否合理，如果存在问题需要重新划分相关区域。</w:t>
      </w:r>
    </w:p>
    <w:p w14:paraId="0EA6DF1D">
      <w:pPr>
        <w:widowControl w:val="0"/>
        <w:numPr>
          <w:ilvl w:val="0"/>
          <w:numId w:val="6"/>
        </w:numPr>
        <w:ind w:left="0" w:firstLine="480" w:firstLineChars="200"/>
        <w:rPr>
          <w:rFonts w:ascii="宋体" w:hAnsi="宋体"/>
          <w:color w:val="auto"/>
          <w:highlight w:val="none"/>
        </w:rPr>
      </w:pPr>
      <w:r>
        <w:rPr>
          <w:rFonts w:hint="eastAsia" w:ascii="宋体" w:hAnsi="宋体"/>
          <w:color w:val="auto"/>
          <w:highlight w:val="none"/>
        </w:rPr>
        <w:t>更新版本或引擎：</w:t>
      </w:r>
    </w:p>
    <w:p w14:paraId="32B7BF54">
      <w:pPr>
        <w:ind w:firstLine="480" w:firstLineChars="200"/>
        <w:rPr>
          <w:rFonts w:ascii="宋体" w:hAnsi="宋体"/>
          <w:color w:val="auto"/>
          <w:highlight w:val="none"/>
        </w:rPr>
      </w:pPr>
      <w:r>
        <w:rPr>
          <w:rFonts w:hint="eastAsia" w:ascii="宋体" w:hAnsi="宋体"/>
          <w:color w:val="auto"/>
          <w:highlight w:val="none"/>
        </w:rPr>
        <w:t>和厂商确定防火墙的当前最新版本，在相关人员配合下升级到最新版本。</w:t>
      </w:r>
    </w:p>
    <w:p w14:paraId="7C070E09">
      <w:pPr>
        <w:widowControl w:val="0"/>
        <w:numPr>
          <w:ilvl w:val="0"/>
          <w:numId w:val="6"/>
        </w:numPr>
        <w:ind w:left="0" w:firstLine="480" w:firstLineChars="200"/>
        <w:rPr>
          <w:rFonts w:ascii="宋体" w:hAnsi="宋体"/>
          <w:color w:val="auto"/>
          <w:highlight w:val="none"/>
        </w:rPr>
      </w:pPr>
      <w:r>
        <w:rPr>
          <w:rFonts w:hint="eastAsia" w:ascii="宋体" w:hAnsi="宋体"/>
          <w:color w:val="auto"/>
          <w:highlight w:val="none"/>
        </w:rPr>
        <w:t>防火墙安全配置：</w:t>
      </w:r>
    </w:p>
    <w:p w14:paraId="69026287">
      <w:pPr>
        <w:ind w:firstLine="480" w:firstLineChars="200"/>
        <w:rPr>
          <w:rFonts w:ascii="宋体" w:hAnsi="宋体"/>
          <w:color w:val="auto"/>
          <w:highlight w:val="none"/>
        </w:rPr>
      </w:pPr>
      <w:r>
        <w:rPr>
          <w:rFonts w:hint="eastAsia" w:ascii="宋体" w:hAnsi="宋体"/>
          <w:color w:val="auto"/>
          <w:highlight w:val="none"/>
        </w:rPr>
        <w:t>根据评估结果对防火墙的整体配置进行加固，包括以下加固对象：</w:t>
      </w:r>
    </w:p>
    <w:p w14:paraId="5C30C792">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防火墙管理策略</w:t>
      </w:r>
    </w:p>
    <w:p w14:paraId="0E8D46BB">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访问策略</w:t>
      </w:r>
    </w:p>
    <w:p w14:paraId="0F0E20D7">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绑定策略；</w:t>
      </w:r>
    </w:p>
    <w:p w14:paraId="46DD2D1F">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SNMP安全策略</w:t>
      </w:r>
    </w:p>
    <w:p w14:paraId="68BCE183">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防攻击策略</w:t>
      </w:r>
    </w:p>
    <w:p w14:paraId="3DDA43A1">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HA策略</w:t>
      </w:r>
    </w:p>
    <w:p w14:paraId="2930397B">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审核策略</w:t>
      </w:r>
    </w:p>
    <w:p w14:paraId="64313E49">
      <w:pPr>
        <w:widowControl w:val="0"/>
        <w:numPr>
          <w:ilvl w:val="0"/>
          <w:numId w:val="6"/>
        </w:numPr>
        <w:ind w:left="0" w:firstLine="480" w:firstLineChars="200"/>
        <w:rPr>
          <w:rFonts w:ascii="宋体" w:hAnsi="宋体"/>
          <w:color w:val="auto"/>
          <w:highlight w:val="none"/>
        </w:rPr>
      </w:pPr>
      <w:bookmarkStart w:id="80" w:name="_Toc215993336"/>
      <w:r>
        <w:rPr>
          <w:rFonts w:hint="eastAsia" w:ascii="宋体" w:hAnsi="宋体"/>
          <w:color w:val="auto"/>
          <w:highlight w:val="none"/>
        </w:rPr>
        <w:t>操作系统加固</w:t>
      </w:r>
      <w:bookmarkEnd w:id="80"/>
    </w:p>
    <w:p w14:paraId="2A05659E">
      <w:pPr>
        <w:ind w:firstLine="480" w:firstLineChars="200"/>
        <w:rPr>
          <w:rFonts w:ascii="宋体" w:hAnsi="宋体"/>
          <w:color w:val="auto"/>
          <w:highlight w:val="none"/>
        </w:rPr>
      </w:pPr>
      <w:r>
        <w:rPr>
          <w:rFonts w:hint="eastAsia" w:ascii="宋体" w:hAnsi="宋体"/>
          <w:color w:val="auto"/>
          <w:highlight w:val="none"/>
        </w:rPr>
        <w:t>用户按照其信息保护策略购入并部署好设备后，主机中的主要组成系统，包括操作系统、软件配置等，往往在一定时间段内是保持相对稳定的。在这段时间内，如果设备本身存在安全上的脆弱性，则往往会成为攻击者攻击的目标。这些需要加固的安全脆弱性包括：</w:t>
      </w:r>
    </w:p>
    <w:p w14:paraId="319DC58C">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提供不必要的网络服务，提高了攻击者的攻击机会</w:t>
      </w:r>
    </w:p>
    <w:p w14:paraId="6C5AEF84">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存在不安全的配置，带来不必要的安全隐患</w:t>
      </w:r>
    </w:p>
    <w:p w14:paraId="799A63A5">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不适当的访问控制</w:t>
      </w:r>
    </w:p>
    <w:p w14:paraId="4AE4A1F4">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存在系统软件上的安全漏洞</w:t>
      </w:r>
    </w:p>
    <w:p w14:paraId="638072FA">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物理上没有得到安全存放，容易遭受临近攻击，针对这些安全弱点，我们提出如下几点设备的安全加固技术建议</w:t>
      </w:r>
    </w:p>
    <w:p w14:paraId="5A4E5710">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禁用不必要的网络服务</w:t>
      </w:r>
    </w:p>
    <w:p w14:paraId="0B5B166A">
      <w:pPr>
        <w:pStyle w:val="4"/>
        <w:widowControl w:val="0"/>
        <w:numPr>
          <w:ilvl w:val="0"/>
          <w:numId w:val="7"/>
        </w:numPr>
        <w:adjustRightInd/>
        <w:snapToGrid/>
        <w:ind w:left="901" w:firstLineChars="0"/>
        <w:rPr>
          <w:rFonts w:ascii="宋体" w:hAnsi="宋体" w:eastAsia="宋体" w:cs="宋体"/>
          <w:color w:val="auto"/>
          <w:highlight w:val="none"/>
        </w:rPr>
      </w:pPr>
      <w:r>
        <w:rPr>
          <w:rFonts w:hint="eastAsia" w:ascii="宋体" w:hAnsi="宋体" w:eastAsia="宋体" w:cs="宋体"/>
          <w:color w:val="auto"/>
          <w:highlight w:val="none"/>
        </w:rPr>
        <w:t>修改不安全的配置</w:t>
      </w:r>
    </w:p>
    <w:p w14:paraId="7C487AA1">
      <w:pPr>
        <w:pStyle w:val="4"/>
        <w:widowControl w:val="0"/>
        <w:numPr>
          <w:ilvl w:val="0"/>
          <w:numId w:val="7"/>
        </w:numPr>
        <w:adjustRightInd/>
        <w:snapToGrid/>
        <w:ind w:left="901" w:firstLineChars="0"/>
        <w:rPr>
          <w:rFonts w:ascii="宋体" w:hAnsi="宋体"/>
          <w:color w:val="auto"/>
          <w:highlight w:val="none"/>
        </w:rPr>
      </w:pPr>
      <w:r>
        <w:rPr>
          <w:rFonts w:hint="eastAsia" w:ascii="宋体" w:hAnsi="宋体" w:eastAsia="宋体" w:cs="宋体"/>
          <w:color w:val="auto"/>
          <w:highlight w:val="none"/>
        </w:rPr>
        <w:t>利用最小特权原则严格对设备的访问控制</w:t>
      </w:r>
    </w:p>
    <w:p w14:paraId="3EE831EF">
      <w:pPr>
        <w:pStyle w:val="5"/>
        <w:bidi w:val="0"/>
        <w:ind w:left="720" w:leftChars="0" w:hanging="720" w:firstLineChars="0"/>
      </w:pPr>
      <w:bookmarkStart w:id="81" w:name="_Toc10738"/>
      <w:r>
        <w:rPr>
          <w:rFonts w:hint="eastAsia"/>
        </w:rPr>
        <w:t>网络安全等级保护建设清单</w:t>
      </w:r>
      <w:bookmarkEnd w:id="81"/>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267"/>
        <w:gridCol w:w="4936"/>
        <w:gridCol w:w="802"/>
      </w:tblGrid>
      <w:tr w14:paraId="4864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817" w:type="dxa"/>
            <w:vAlign w:val="center"/>
          </w:tcPr>
          <w:p w14:paraId="6F688D7E">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267" w:type="dxa"/>
            <w:vAlign w:val="center"/>
          </w:tcPr>
          <w:p w14:paraId="6CDE373C">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名称</w:t>
            </w:r>
          </w:p>
        </w:tc>
        <w:tc>
          <w:tcPr>
            <w:tcW w:w="4936" w:type="dxa"/>
            <w:vAlign w:val="center"/>
          </w:tcPr>
          <w:p w14:paraId="1C0FE24A">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技术指标与服务要求</w:t>
            </w:r>
          </w:p>
        </w:tc>
        <w:tc>
          <w:tcPr>
            <w:tcW w:w="802" w:type="dxa"/>
            <w:vAlign w:val="center"/>
          </w:tcPr>
          <w:p w14:paraId="620C834D">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数量</w:t>
            </w:r>
          </w:p>
        </w:tc>
      </w:tr>
      <w:tr w14:paraId="0030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822" w:type="dxa"/>
            <w:gridSpan w:val="4"/>
            <w:vAlign w:val="center"/>
          </w:tcPr>
          <w:p w14:paraId="0243CD1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both"/>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rPr>
              <w:t>一、医院内网</w:t>
            </w:r>
          </w:p>
        </w:tc>
      </w:tr>
      <w:tr w14:paraId="3803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17" w:type="dxa"/>
            <w:vAlign w:val="center"/>
          </w:tcPr>
          <w:p w14:paraId="0E864163">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267" w:type="dxa"/>
            <w:vAlign w:val="center"/>
          </w:tcPr>
          <w:p w14:paraId="3D4DD4C3">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数据中心防火墙</w:t>
            </w:r>
          </w:p>
        </w:tc>
        <w:tc>
          <w:tcPr>
            <w:tcW w:w="4936" w:type="dxa"/>
            <w:vAlign w:val="center"/>
          </w:tcPr>
          <w:p w14:paraId="053A6D1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1.基于国产化芯片和操作系统，≥6个千兆电口，≥4个万兆光口，冗余电源，硬盘容量≥128G。网络吞吐量≥18G，最大并发连接数≥800万，最大新建连接数≥16万，全威胁吞吐量≥3G。</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2.内置不低于15000种漏洞规则，同时支持在控制台界面通过漏洞ID、漏洞名称、危险等级、漏洞CVE标识、漏洞描述等条件查询漏洞特征信息，支持用户自定义IPS规则。</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3.具备独立的勒索病毒防护模块，非普通防病毒功能，支持对特定的业务进行勒索风险自动化评估，并依据评估结果自动生成防护策略。</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4.支持基于网络区域、网络对象、MAC地址、服务、应用、域名等维度进行访问控制策略设置。</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5.支持服务器漏洞防扫描功能，并对扫描源IP进行日志记录和联动封锁。</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6.产品支持Cookie攻击防护功能，并通过日志记录Cookie被篡改。</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7.其它指标：提供3年硬件质保、软件升级和规则库升级（至少包括IPS特征库、防病毒库、URL&amp;应用识别库）。</w:t>
            </w:r>
          </w:p>
        </w:tc>
        <w:tc>
          <w:tcPr>
            <w:tcW w:w="802" w:type="dxa"/>
            <w:vAlign w:val="center"/>
          </w:tcPr>
          <w:p w14:paraId="25B9C6C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1台</w:t>
            </w:r>
          </w:p>
        </w:tc>
      </w:tr>
      <w:tr w14:paraId="6861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63E36EE4">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p>
        </w:tc>
        <w:tc>
          <w:tcPr>
            <w:tcW w:w="1267" w:type="dxa"/>
            <w:vAlign w:val="center"/>
          </w:tcPr>
          <w:p w14:paraId="72EB199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运维审计系统</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堡垒机</w:t>
            </w:r>
            <w:r>
              <w:rPr>
                <w:rFonts w:hint="eastAsia" w:asciiTheme="minorEastAsia" w:hAnsiTheme="minorEastAsia" w:eastAsiaTheme="minorEastAsia" w:cstheme="minorEastAsia"/>
                <w:color w:val="auto"/>
                <w:sz w:val="24"/>
                <w:szCs w:val="24"/>
                <w:highlight w:val="none"/>
                <w:lang w:eastAsia="zh-CN"/>
              </w:rPr>
              <w:t>）</w:t>
            </w:r>
          </w:p>
        </w:tc>
        <w:tc>
          <w:tcPr>
            <w:tcW w:w="4936" w:type="dxa"/>
            <w:vAlign w:val="center"/>
          </w:tcPr>
          <w:p w14:paraId="320FC06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1.硬件指标：基于国产化芯片和操作系统，硬盘容量≥1.92T，≥6千兆电口，≥4千兆光口。运维授权数≥50，最大可扩展资产数≥150，图形运维最大并发数≥100，字符运维最大并发数≥200。</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2.支持通过动作流配置提供广泛的应用接入支持，无论被接入的资源如何设计登录动作，通过动作流配置都可以实现单点登录和审计接入。</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3.支持登录控制台会话超时时间设置，用户在指定时间内无操作自动注销当前会话。</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4.内置三员角色的同时支持角色灵活自定义，可根据用户实际的管理特性或特殊的安全管理组织架构，划分管理角色的管理范畴。</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5.支持提供系统内部操作审计，包括管理员和运维用户的登录、登出、对系统的配置操作、账号属性修改等系统管理操作。</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6.其它指标：提供3年硬件质保、软件升级服务。</w:t>
            </w:r>
          </w:p>
        </w:tc>
        <w:tc>
          <w:tcPr>
            <w:tcW w:w="802" w:type="dxa"/>
            <w:shd w:val="clear" w:color="auto" w:fill="auto"/>
            <w:vAlign w:val="center"/>
          </w:tcPr>
          <w:p w14:paraId="0BB95C3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1台</w:t>
            </w:r>
          </w:p>
        </w:tc>
      </w:tr>
      <w:tr w14:paraId="2D57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17" w:type="dxa"/>
            <w:vAlign w:val="center"/>
          </w:tcPr>
          <w:p w14:paraId="517A10DC">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267" w:type="dxa"/>
            <w:vAlign w:val="center"/>
          </w:tcPr>
          <w:p w14:paraId="7867E816">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日志审计系统</w:t>
            </w:r>
          </w:p>
        </w:tc>
        <w:tc>
          <w:tcPr>
            <w:tcW w:w="4936" w:type="dxa"/>
            <w:vAlign w:val="center"/>
          </w:tcPr>
          <w:p w14:paraId="76605C7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1.基于国产化芯片和操作系统，硬盘容量≥4T，≥6千兆电口，≥2个万兆光口。平均每秒处理日志数（eps）最大性能≥2500，包含主机审计许可证书数量≥100。</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2.支持自动解析主流网络设备、安全设备和中间件的日志数据，标准化自动识别系统类型至少达到200种。</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3.支持通过正则、分隔符、json、xml的可视方式进行自定义规则解析，支持对解析结果字段的新增、合并、映射，以满足除内置解析规则之外未被覆盖的日志类型的解析。</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4.支持将检索查询的条件收藏为查询模版，支持查询模版创建、导入导出、删除功能，支持历史搜索记录功能。</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5.支持资产全生命周期管理，资产入库审核、资产离线风险识别、资产退库、资产数据更新，责任人管理机制等，支持自定义资产标签、属性。</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6.支持告警事件归并、告警确认和告警归档，支持基于频率、频次、时间的设定条件。</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7.支持POC测试工具一键生成数据,验证日志数据采集是否成功，避免设备部署后采集失效但不被发现等风险。</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8.支持可视化展示，包括数据分布、安全事件趋势图、关联规则告警趋势图、接入设备概况等。</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9.其它指标：提供3年硬件质保、软件升级服务。</w:t>
            </w:r>
          </w:p>
        </w:tc>
        <w:tc>
          <w:tcPr>
            <w:tcW w:w="802" w:type="dxa"/>
            <w:shd w:val="clear" w:color="auto" w:fill="auto"/>
            <w:vAlign w:val="center"/>
          </w:tcPr>
          <w:p w14:paraId="7C8841B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1台</w:t>
            </w:r>
          </w:p>
        </w:tc>
      </w:tr>
      <w:tr w14:paraId="106C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17" w:type="dxa"/>
            <w:vAlign w:val="center"/>
          </w:tcPr>
          <w:p w14:paraId="62FAF311">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267" w:type="dxa"/>
            <w:vAlign w:val="center"/>
          </w:tcPr>
          <w:p w14:paraId="0EC165CA">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数据库审计系统</w:t>
            </w:r>
          </w:p>
        </w:tc>
        <w:tc>
          <w:tcPr>
            <w:tcW w:w="4936" w:type="dxa"/>
            <w:vAlign w:val="center"/>
          </w:tcPr>
          <w:p w14:paraId="200B960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1.最大硬件吞吐量：3Gbps，最大数据库纯SQL流量：400Mb/s，数据库实例个数：无限制，SQL处理性能：30000条SQL/s，日志检索性能：600000条/秒。规格：2U，内存大小：8G，硬盘容量：128G SSD+4T SATA，电源：单电源，接口：6千兆电口。</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2.支持Oracle，MySQL，MSSQL（SQL Server），Sybase，PostgreSQL，DB2，informix，GBASE 8a，GBASE 8s，海量数据库VASTBASE，神通，人大金仓，达梦，HIVE，TiDB，瀚高（HIGHGO），MongoDB。Redis，HBASE，HDFS，MongoDB，Cache，ElasticSearch，ClickHouse，TDsql（Mysql），Tbase（PG），Hbase，HDFS，GreenPlum等数据库。</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3.支持HTTP访问审计，可指定GET、POST、URL、响应码进行精细审计。</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内置包括个人信息安全规范标签库，内置敏感数据标签包含港澳居民来往内容通行证、性别、名族、统一社会信用代码、港澳通行证、IP地址、IPv6地址、MAC地址、IMEI、MEID、企业单位名称、电子邮箱、中文地址、固定电话、手机号、银行卡号、军官证号、社保证号、护照号、驾驶证、身份证号、中文姓名等敏感数据规则。</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5.支持发现数据库所在的服务器的异常网络通讯行为，包含访问数据库服务器上的非数据库协议通讯审计全记录。</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6.支持发现数据库服务器主动外联通讯行为，外联审计结果全记录可追溯。</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7.支持通过审计日志快速添加规则，包括自定义规则、白名单规则、黑名单规则和用户行为基线，审计日志内容将作为规则条件自动填充。</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8.其它指标：提供3年硬件质保、软件升级服务。</w:t>
            </w:r>
          </w:p>
        </w:tc>
        <w:tc>
          <w:tcPr>
            <w:tcW w:w="802" w:type="dxa"/>
            <w:shd w:val="clear" w:color="auto" w:fill="auto"/>
            <w:vAlign w:val="center"/>
          </w:tcPr>
          <w:p w14:paraId="4B633DA3">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1台</w:t>
            </w:r>
          </w:p>
        </w:tc>
      </w:tr>
      <w:tr w14:paraId="46DC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1662F441">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267" w:type="dxa"/>
            <w:vAlign w:val="center"/>
          </w:tcPr>
          <w:p w14:paraId="01A17C39">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主机杀毒系统</w:t>
            </w:r>
          </w:p>
        </w:tc>
        <w:tc>
          <w:tcPr>
            <w:tcW w:w="4936" w:type="dxa"/>
            <w:vAlign w:val="center"/>
          </w:tcPr>
          <w:p w14:paraId="64A5E37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1.采用B/S架构的管理控制中心，具备终端安全可视，终端统一管理，统一威胁处置，统一漏洞修复，威胁响应处置，日志记录与查询等功能。</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2.提供勒索病毒整体防护体系入口，直观展示最近七天勒索病毒防护效果，包括已处置的恶意文件数量、已拦截可疑行为次数、已阻止的未知进程操作次数、已阻止的暴力破解攻击次数等。</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3.支持跳转链接至云端威胁情报中心，针对已发生的威胁提供详细的分析结果，包含威胁分析、网络行为、静态分析、分析环境和影响分析。</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4.支持windows服务器RDP远程登录保护，可开启RDP远程登录二次认证，以防止黑客对服务器的入侵。</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Linux服务器SSH远程登录保护，可开启SSH远程登录二次认证，以防止黑客利用弱密码脆弱性对服务器的入侵；支持设置验证码验证或自定义密码验证，支持设置登录认证提示、生效时间段和免二次认证白名单。</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6.支持在管理端批量下发强力专杀工具到内网各终端快速响应终端威胁。</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7.支持按照扫描网段、扫描方式、扫描协议、扫描端口对终端进行扫描，及时发现尚未纳入管控的终端</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8.授权数量：服务器授权≥100个，提供不少于3年软件升级和规则库升级服务。</w:t>
            </w:r>
          </w:p>
        </w:tc>
        <w:tc>
          <w:tcPr>
            <w:tcW w:w="802" w:type="dxa"/>
            <w:shd w:val="clear" w:color="auto" w:fill="auto"/>
            <w:vAlign w:val="center"/>
          </w:tcPr>
          <w:p w14:paraId="16C157A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1套</w:t>
            </w:r>
          </w:p>
        </w:tc>
      </w:tr>
      <w:tr w14:paraId="320C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4547BB69">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1267" w:type="dxa"/>
            <w:vAlign w:val="center"/>
          </w:tcPr>
          <w:p w14:paraId="5729129D">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运维通道VPN</w:t>
            </w:r>
          </w:p>
        </w:tc>
        <w:tc>
          <w:tcPr>
            <w:tcW w:w="4936" w:type="dxa"/>
            <w:vAlign w:val="center"/>
          </w:tcPr>
          <w:p w14:paraId="250D4EF5">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1.硬件指标：基于国产化芯片和操作系统，硬盘容量≥128G SSD，接口≥6千兆电口。</w:t>
            </w:r>
          </w:p>
          <w:p w14:paraId="190A5EA6">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2.SSL性能指标：最大加密流量≥300Mbps，最大并发用户数≥600个。</w:t>
            </w:r>
          </w:p>
          <w:p w14:paraId="2DFF0F71">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3.支持加密传输、终端动态环境检测、灰度处置、SPA单包授权等功能。</w:t>
            </w:r>
          </w:p>
          <w:p w14:paraId="232EDE7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4.支持配置在触发异常环境的条件时，用户需完成增强认证才可登录。</w:t>
            </w:r>
          </w:p>
          <w:p w14:paraId="6BADBDF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5.提供终端诊断工具，支持对当前终端的基本环境进行扫描和一键修复。</w:t>
            </w:r>
          </w:p>
          <w:p w14:paraId="1B059AA9">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6.授权数量：≥50个SSL VPN并发授权。</w:t>
            </w:r>
          </w:p>
          <w:p w14:paraId="131E908A">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7.其它指标：提供3年硬件质保、软件升级服务。</w:t>
            </w:r>
          </w:p>
        </w:tc>
        <w:tc>
          <w:tcPr>
            <w:tcW w:w="802" w:type="dxa"/>
            <w:shd w:val="clear" w:color="auto" w:fill="auto"/>
            <w:vAlign w:val="center"/>
          </w:tcPr>
          <w:p w14:paraId="479597B0">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1台</w:t>
            </w:r>
          </w:p>
        </w:tc>
      </w:tr>
      <w:tr w14:paraId="4179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822" w:type="dxa"/>
            <w:gridSpan w:val="4"/>
            <w:vAlign w:val="center"/>
          </w:tcPr>
          <w:p w14:paraId="34F9D7A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lang w:val="en-US"/>
              </w:rPr>
              <w:t>、医院</w:t>
            </w:r>
            <w:r>
              <w:rPr>
                <w:rFonts w:hint="eastAsia" w:asciiTheme="minorEastAsia" w:hAnsiTheme="minorEastAsia" w:eastAsiaTheme="minorEastAsia" w:cstheme="minorEastAsia"/>
                <w:b/>
                <w:color w:val="auto"/>
                <w:sz w:val="24"/>
                <w:szCs w:val="24"/>
                <w:highlight w:val="none"/>
                <w:lang w:val="en-US" w:eastAsia="zh-CN"/>
              </w:rPr>
              <w:t>外</w:t>
            </w:r>
            <w:r>
              <w:rPr>
                <w:rFonts w:hint="eastAsia" w:asciiTheme="minorEastAsia" w:hAnsiTheme="minorEastAsia" w:eastAsiaTheme="minorEastAsia" w:cstheme="minorEastAsia"/>
                <w:b/>
                <w:color w:val="auto"/>
                <w:sz w:val="24"/>
                <w:szCs w:val="24"/>
                <w:highlight w:val="none"/>
                <w:lang w:val="en-US"/>
              </w:rPr>
              <w:t>网</w:t>
            </w:r>
          </w:p>
        </w:tc>
      </w:tr>
      <w:tr w14:paraId="17EA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3FD9C84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267" w:type="dxa"/>
            <w:vAlign w:val="center"/>
          </w:tcPr>
          <w:p w14:paraId="1872103B">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出口防火墙</w:t>
            </w:r>
          </w:p>
        </w:tc>
        <w:tc>
          <w:tcPr>
            <w:tcW w:w="4936" w:type="dxa"/>
            <w:vAlign w:val="center"/>
          </w:tcPr>
          <w:p w14:paraId="1073951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1.基于国产化芯片和操作系统，≥6个千兆电口，单电源，硬盘容量≥128G。网络吞吐量≥10G，最大并发连接数≥400万，最大新建连接数≥10万，全威胁吞吐量≥1G。</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2.支持路由模式、透明模式、虚拟网线模式、旁路镜像模式等多种部署方式。</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3.支持Cookie攻击防护功能，并通过日志记录Cookie被篡改。</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4.支持云端未知威胁主动探测技术，实现5min内未知威胁情报全网设备下发。</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独立的账号安全防护模块，具备事前账号脆弱性、事中账号爆破、事后账号失陷的全生命周期安全防护，在设备界面可以详细展示账号安全相关信息，包括风险业务、风险等级、存在账号入口、存在弱口令、遭受口令爆破、异常登录账号登录。</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6.支持基于IP对象的会话控制策略，实现并发和新建连接数的合理限制。</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7.支持云威胁情报网关技术，实现对威胁流量就近进行实时检测&amp;拦截，实现失陷外联实时阻断，保护资产安全。</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8.其它指标：提供3年硬件质保、软件升级和规则库升级（至少包括IPS特征库、防病毒库、URL&amp;应用识别库）。</w:t>
            </w:r>
          </w:p>
        </w:tc>
        <w:tc>
          <w:tcPr>
            <w:tcW w:w="802" w:type="dxa"/>
            <w:shd w:val="clear" w:color="auto" w:fill="auto"/>
            <w:vAlign w:val="center"/>
          </w:tcPr>
          <w:p w14:paraId="345AE5F8">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1台</w:t>
            </w:r>
          </w:p>
        </w:tc>
      </w:tr>
      <w:tr w14:paraId="1214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525F3D4E">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267" w:type="dxa"/>
            <w:vAlign w:val="center"/>
          </w:tcPr>
          <w:p w14:paraId="6590DAB9">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上网行为管理系统</w:t>
            </w:r>
          </w:p>
        </w:tc>
        <w:tc>
          <w:tcPr>
            <w:tcW w:w="4936" w:type="dxa"/>
            <w:vAlign w:val="center"/>
          </w:tcPr>
          <w:p w14:paraId="336E498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1.基于国产化芯片和操作系统，≥6个千兆电口，单电源，硬盘容量≥480G。网络层吞吐量（大包）≥5.8Gb，应用层吞吐量≥750Mb，带宽性能≥500Mb，IPSEC VPN加密性能（最高性能）：≥120Mb，支持用户数≥4000，每秒新建连接数≥10000，最大并发连接数≥500000。</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2.支持路由模式、单臂模式、网桥模式、旁路模式。</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3.支持首页显示在线用户、流量分析、行为日志分析、应用流量排名、用户流量排名、资产类型分布、新设备发现趋势、TOP违规检查项、TOP违规用户等。</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4.设备内置应用识别规则库，支持超过9000种以上应用规则数、支持超过6000种以上的应用；支持根据标签选择应用，并支持给每个应用自定义标签；支持根据标签选择一类应用做控制；支持超过900种主流Saas应用，对Saas应用有默认分类标签，帮助客户统一配置策略。</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5.支持SSL中间人解密和客户端解密，确保数据传输的透明性与安全性。</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6.支持发现常见的私接路由（或者共享软件等）共享网络的行为。</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7.支持用户密码认证、不需要认证以IP做用户名上线、不需要认证以MAC做用户名上线等认证方式。</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8.维保：提供3年硬件质保、软件升级以及规则库升级服务。</w:t>
            </w:r>
          </w:p>
        </w:tc>
        <w:tc>
          <w:tcPr>
            <w:tcW w:w="802" w:type="dxa"/>
            <w:shd w:val="clear" w:color="auto" w:fill="auto"/>
            <w:vAlign w:val="center"/>
          </w:tcPr>
          <w:p w14:paraId="2F4E995B">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1台</w:t>
            </w:r>
          </w:p>
        </w:tc>
      </w:tr>
      <w:tr w14:paraId="2BD9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822" w:type="dxa"/>
            <w:gridSpan w:val="4"/>
            <w:vAlign w:val="center"/>
          </w:tcPr>
          <w:p w14:paraId="238BDA4C">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b/>
                <w:color w:val="auto"/>
                <w:sz w:val="24"/>
                <w:szCs w:val="24"/>
                <w:highlight w:val="none"/>
                <w:lang w:val="en-US" w:eastAsia="zh-CN"/>
              </w:rPr>
              <w:t>三</w:t>
            </w:r>
            <w:r>
              <w:rPr>
                <w:rFonts w:hint="eastAsia" w:asciiTheme="minorEastAsia" w:hAnsiTheme="minorEastAsia" w:eastAsiaTheme="minorEastAsia" w:cstheme="minorEastAsia"/>
                <w:b/>
                <w:color w:val="auto"/>
                <w:sz w:val="24"/>
                <w:szCs w:val="24"/>
                <w:highlight w:val="none"/>
                <w:lang w:val="en-US"/>
              </w:rPr>
              <w:t>、数据交换区</w:t>
            </w:r>
          </w:p>
        </w:tc>
      </w:tr>
      <w:tr w14:paraId="795A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17" w:type="dxa"/>
            <w:vAlign w:val="center"/>
          </w:tcPr>
          <w:p w14:paraId="762A5417">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267" w:type="dxa"/>
            <w:vAlign w:val="center"/>
          </w:tcPr>
          <w:p w14:paraId="14CDB388">
            <w:pPr>
              <w:keepNext w:val="0"/>
              <w:keepLines w:val="0"/>
              <w:pageBreakBefore w:val="0"/>
              <w:widowControl w:val="0"/>
              <w:kinsoku/>
              <w:wordWrap/>
              <w:overflowPunct/>
              <w:topLinePunct w:val="0"/>
              <w:autoSpaceDE/>
              <w:autoSpaceDN/>
              <w:bidi w:val="0"/>
              <w:adjustRightInd/>
              <w:snapToGrid/>
              <w:spacing w:before="120" w:beforeLines="50" w:after="120" w:afterLines="50"/>
              <w:ind w:firstLine="0" w:firstLineChars="0"/>
              <w:jc w:val="center"/>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rPr>
              <w:t>安全隔离与信息交换系统</w:t>
            </w:r>
          </w:p>
        </w:tc>
        <w:tc>
          <w:tcPr>
            <w:tcW w:w="4936" w:type="dxa"/>
            <w:vAlign w:val="center"/>
          </w:tcPr>
          <w:p w14:paraId="0EAF6451">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1.国产化网闸，采用“2+1”硬件系统架构，单台设备由内、外网两个独立主机模块和一个隔离交换专用硬件模块三部分组成。</w:t>
            </w:r>
          </w:p>
          <w:p w14:paraId="5BBFD63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2.硬件指标：内端机：≥8个干兆电口，≥4个干兆光口，≥1个串口，≥2个USB口；外端机：≥8个干兆电口，≥4个干兆光口，≥1个串口，≥2个USB口；内外端机存储≥128GB SSD，内置双电源。</w:t>
            </w:r>
          </w:p>
          <w:p w14:paraId="1D10DC44">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3.性能指标：网络层吞吐≥500Mbps，并发连接数≥10万，整体时延≤1ms，最大受控协议通道数≥3000。</w:t>
            </w:r>
          </w:p>
          <w:p w14:paraId="023E46F7">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4.支持数据库同步模块、支持视频传输模块，支持Kafka、RabbitMQ、RocketMQ等消息总线进行消息队列数据信息同步，支持人工设置消息同步的起始位置和起始时间，支持指定时间戳同步、消息队列顺序同步。</w:t>
            </w:r>
          </w:p>
          <w:p w14:paraId="2BBCD5C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5.具备邮件服务安全代理访问，支持邮件单、双向交换功能，支持邮件策略过滤，包含但不限于内容关键字过滤、附件关键字过滤、附件类型过滤、附件病毒查杀等。</w:t>
            </w:r>
          </w:p>
          <w:p w14:paraId="320D702E">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6.维保：提供3年硬件质保、软件升级服务。</w:t>
            </w:r>
          </w:p>
        </w:tc>
        <w:tc>
          <w:tcPr>
            <w:tcW w:w="802" w:type="dxa"/>
            <w:shd w:val="clear" w:color="auto" w:fill="auto"/>
            <w:vAlign w:val="center"/>
          </w:tcPr>
          <w:p w14:paraId="6D3A6BFF">
            <w:pPr>
              <w:keepNext w:val="0"/>
              <w:keepLines w:val="0"/>
              <w:pageBreakBefore w:val="0"/>
              <w:widowControl/>
              <w:kinsoku/>
              <w:wordWrap/>
              <w:overflowPunct/>
              <w:topLinePunct w:val="0"/>
              <w:autoSpaceDE/>
              <w:autoSpaceDN/>
              <w:bidi w:val="0"/>
              <w:adjustRightInd/>
              <w:snapToGrid/>
              <w:spacing w:before="120" w:beforeLines="50" w:after="120" w:afterLines="50"/>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1台</w:t>
            </w:r>
          </w:p>
        </w:tc>
      </w:tr>
      <w:bookmarkEnd w:id="36"/>
    </w:tbl>
    <w:p w14:paraId="1D2562FD">
      <w:pPr>
        <w:pStyle w:val="2"/>
        <w:bidi w:val="0"/>
        <w:ind w:left="432" w:leftChars="0" w:hanging="432" w:firstLineChars="0"/>
      </w:pPr>
      <w:bookmarkStart w:id="82" w:name="_Toc6477"/>
      <w:r>
        <w:rPr>
          <w:rFonts w:hint="eastAsia"/>
          <w:lang w:val="en-US" w:eastAsia="zh-CN"/>
        </w:rPr>
        <w:t>配套终端设备设计</w:t>
      </w:r>
      <w:bookmarkEnd w:id="82"/>
    </w:p>
    <w:p w14:paraId="457164E3">
      <w:pPr>
        <w:pStyle w:val="3"/>
        <w:bidi w:val="0"/>
        <w:ind w:left="575" w:leftChars="0" w:hanging="575" w:firstLineChars="0"/>
        <w:rPr>
          <w:rFonts w:hint="eastAsia"/>
        </w:rPr>
      </w:pPr>
      <w:bookmarkStart w:id="83" w:name="_Toc2108957137"/>
      <w:r>
        <w:rPr>
          <w:rFonts w:hint="eastAsia"/>
          <w:lang w:val="en-US" w:eastAsia="zh-CN"/>
        </w:rPr>
        <w:t>设计概述</w:t>
      </w:r>
      <w:bookmarkEnd w:id="83"/>
    </w:p>
    <w:p w14:paraId="6E35FCE4">
      <w:pPr>
        <w:ind w:firstLine="480" w:firstLineChars="200"/>
        <w:rPr>
          <w:rFonts w:hint="eastAsia" w:eastAsia="宋体"/>
          <w:color w:val="auto"/>
          <w:highlight w:val="none"/>
          <w:lang w:val="en-US" w:eastAsia="zh-CN"/>
        </w:rPr>
      </w:pPr>
      <w:r>
        <w:rPr>
          <w:rFonts w:hint="eastAsia" w:eastAsia="宋体"/>
          <w:color w:val="auto"/>
          <w:highlight w:val="none"/>
          <w:lang w:val="en-US" w:eastAsia="zh-CN"/>
        </w:rPr>
        <w:t>本方案主要针对麻章区人民医院信息化项目的配套终端设备开展专项设计，设计工作以医院提供的《各科室电脑、打印机需求表》为需求来源，并结合当前项目已确定的HIS、EMR、LIS、PACS、手术麻醉、病案管理、电子票据、公共卫生等业务系统，对终端设备的业务用途、配置数量、网络边界、技术能力和专项债资金属性等进行重新梳理。围绕医院信息化建设中各类业务终端及配套输出设备的使用需求，对终端设备建设目标、需求来源、配置原则、总体配置、详细设计、网络接入、设备技术要求、投资测算进行统一设计。终端设备是医院各类信息系统面向医生、护士、医技人员、窗口人员、管理人员及其他工作人员的实际使用载体，其配置合理性直接影响业务系统能否有效落地以及医院日常业务运行效率。</w:t>
      </w:r>
    </w:p>
    <w:p w14:paraId="3D9EBD91">
      <w:pPr>
        <w:ind w:firstLine="480" w:firstLineChars="200"/>
        <w:rPr>
          <w:rFonts w:hint="eastAsia" w:eastAsia="宋体"/>
          <w:color w:val="auto"/>
          <w:highlight w:val="none"/>
          <w:lang w:val="en-US" w:eastAsia="zh-CN"/>
        </w:rPr>
      </w:pPr>
      <w:r>
        <w:rPr>
          <w:rFonts w:hint="eastAsia" w:eastAsia="宋体"/>
          <w:color w:val="auto"/>
          <w:highlight w:val="none"/>
          <w:lang w:val="en-US" w:eastAsia="zh-CN"/>
        </w:rPr>
        <w:t>终端设备作为医院信息化建设的配套硬件，凡与医院信息化业务系统直接相关、形成固定资产的设备购置，可以纳入本项目使用专项债资金</w:t>
      </w:r>
      <w:r>
        <w:rPr>
          <w:rFonts w:hint="eastAsia"/>
          <w:color w:val="auto"/>
          <w:highlight w:val="none"/>
          <w:lang w:val="en-US" w:eastAsia="zh-CN"/>
        </w:rPr>
        <w:t>进行建设</w:t>
      </w:r>
      <w:r>
        <w:rPr>
          <w:rFonts w:hint="eastAsia" w:eastAsia="宋体"/>
          <w:color w:val="auto"/>
          <w:highlight w:val="none"/>
          <w:lang w:val="en-US" w:eastAsia="zh-CN"/>
        </w:rPr>
        <w:t>；</w:t>
      </w:r>
      <w:r>
        <w:rPr>
          <w:rFonts w:hint="eastAsia"/>
          <w:color w:val="auto"/>
          <w:highlight w:val="none"/>
          <w:lang w:val="en-US" w:eastAsia="zh-CN"/>
        </w:rPr>
        <w:t>但</w:t>
      </w:r>
      <w:r>
        <w:rPr>
          <w:rFonts w:hint="eastAsia" w:eastAsia="宋体"/>
          <w:color w:val="auto"/>
          <w:highlight w:val="none"/>
          <w:lang w:val="en-US" w:eastAsia="zh-CN"/>
        </w:rPr>
        <w:t>与信息化业务系统无直接关联的一般行政办公设备、超出业务实际需要的超标准配置，均不得使用专项债资金购置</w:t>
      </w:r>
      <w:r>
        <w:rPr>
          <w:rFonts w:hint="eastAsia"/>
          <w:color w:val="auto"/>
          <w:highlight w:val="none"/>
          <w:lang w:val="en-US" w:eastAsia="zh-CN"/>
        </w:rPr>
        <w:t>，不能纳入本项目范围，需另筹资金建设</w:t>
      </w:r>
      <w:r>
        <w:rPr>
          <w:rFonts w:hint="eastAsia" w:eastAsia="宋体"/>
          <w:color w:val="auto"/>
          <w:highlight w:val="none"/>
          <w:lang w:val="en-US" w:eastAsia="zh-CN"/>
        </w:rPr>
        <w:t>。按照地方政府专项债券资金的规范使用要求，对原始需求逐项进行合规性审定，明确哪些需求可以保留纳入本项目、哪些必须核减、哪些必须删除，并在此基础上形成最终的终端设备配置方案和投资测算。</w:t>
      </w:r>
    </w:p>
    <w:p w14:paraId="526D4FA7">
      <w:pPr>
        <w:ind w:firstLine="480" w:firstLineChars="200"/>
        <w:rPr>
          <w:rFonts w:hint="eastAsia" w:eastAsia="宋体"/>
          <w:color w:val="auto"/>
          <w:highlight w:val="none"/>
          <w:lang w:val="en-US" w:eastAsia="zh-CN"/>
        </w:rPr>
      </w:pPr>
      <w:r>
        <w:rPr>
          <w:rFonts w:hint="eastAsia" w:eastAsia="宋体"/>
          <w:color w:val="auto"/>
          <w:highlight w:val="none"/>
          <w:lang w:val="en-US" w:eastAsia="zh-CN"/>
        </w:rPr>
        <w:t>终端采购按照政府采购及集中采购相关管理规定实施，设计阶段明确设备类别、适用场景、主要功能、基本性能及数量，原则上不指定具体品牌、型号和供应商，最终采购产品及成交价格以依法依规履行采购程序后的结果为准。</w:t>
      </w:r>
    </w:p>
    <w:p w14:paraId="399C852C">
      <w:pPr>
        <w:pStyle w:val="3"/>
        <w:bidi w:val="0"/>
        <w:ind w:left="575" w:leftChars="0" w:hanging="575" w:firstLineChars="0"/>
        <w:rPr>
          <w:rFonts w:hint="eastAsia"/>
          <w:lang w:val="en-US" w:eastAsia="zh-CN"/>
        </w:rPr>
      </w:pPr>
      <w:bookmarkStart w:id="84" w:name="_Toc1025007824"/>
      <w:r>
        <w:rPr>
          <w:rFonts w:hint="eastAsia"/>
          <w:lang w:val="en-US" w:eastAsia="zh-CN"/>
        </w:rPr>
        <w:t>建设目标</w:t>
      </w:r>
      <w:bookmarkEnd w:id="84"/>
    </w:p>
    <w:p w14:paraId="3D8D3A7D">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信息化配套终端设备建设的总体目标是形成与医院业务系统、网络环境及业务岗位相匹配的终端使用体系，使业务系统能够真正延伸到临床、医技、窗口及管理一线，实现“系统建成即可使用、设备配置与岗位匹配、终端接入与安全要求一致、设备采购与政府集中采购机制衔接，</w:t>
      </w:r>
      <w:r>
        <w:rPr>
          <w:rFonts w:ascii="Times New Roman" w:hAnsi="Times New Roman" w:eastAsia="宋体" w:cs="Times New Roman"/>
          <w:color w:val="auto"/>
          <w:sz w:val="24"/>
          <w:szCs w:val="24"/>
          <w:highlight w:val="none"/>
        </w:rPr>
        <w:t>资金使用与专项债规范要求一致</w:t>
      </w:r>
      <w:r>
        <w:rPr>
          <w:rFonts w:hint="eastAsia"/>
          <w:color w:val="auto"/>
          <w:highlight w:val="none"/>
          <w:lang w:val="en-US" w:eastAsia="zh-CN"/>
        </w:rPr>
        <w:t>”的建设要求。</w:t>
      </w:r>
    </w:p>
    <w:p w14:paraId="2E93B6FA">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满足临床医疗业务使用需求，</w:t>
      </w:r>
      <w:r>
        <w:rPr>
          <w:color w:val="auto"/>
          <w:highlight w:val="none"/>
        </w:rPr>
        <w:t>形成与医院信息系统建设同步的终端使用体系，保障</w:t>
      </w:r>
      <w:r>
        <w:rPr>
          <w:rFonts w:hint="eastAsia"/>
          <w:color w:val="auto"/>
          <w:highlight w:val="none"/>
          <w:lang w:val="en-US" w:eastAsia="zh-CN"/>
        </w:rPr>
        <w:t>医</w:t>
      </w:r>
      <w:r>
        <w:rPr>
          <w:color w:val="auto"/>
          <w:highlight w:val="none"/>
        </w:rPr>
        <w:t>院开业后的临床</w:t>
      </w:r>
      <w:r>
        <w:rPr>
          <w:rFonts w:hint="eastAsia"/>
          <w:color w:val="auto"/>
          <w:highlight w:val="none"/>
          <w:lang w:val="en-US" w:eastAsia="zh-CN"/>
        </w:rPr>
        <w:t>医护人员</w:t>
      </w:r>
      <w:r>
        <w:rPr>
          <w:color w:val="auto"/>
          <w:highlight w:val="none"/>
        </w:rPr>
        <w:t>、</w:t>
      </w:r>
      <w:r>
        <w:rPr>
          <w:rFonts w:hint="eastAsia"/>
          <w:color w:val="auto"/>
          <w:highlight w:val="none"/>
          <w:lang w:val="en-US" w:eastAsia="zh-CN"/>
        </w:rPr>
        <w:t>临床</w:t>
      </w:r>
      <w:r>
        <w:rPr>
          <w:color w:val="auto"/>
          <w:highlight w:val="none"/>
        </w:rPr>
        <w:t>管理</w:t>
      </w:r>
      <w:r>
        <w:rPr>
          <w:rFonts w:hint="eastAsia"/>
          <w:color w:val="auto"/>
          <w:highlight w:val="none"/>
          <w:lang w:val="en-US" w:eastAsia="zh-CN"/>
        </w:rPr>
        <w:t>人员</w:t>
      </w:r>
      <w:r>
        <w:rPr>
          <w:color w:val="auto"/>
          <w:highlight w:val="none"/>
        </w:rPr>
        <w:t>能够实际使用信息系统。</w:t>
      </w:r>
    </w:p>
    <w:p w14:paraId="533BC5DF">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满足医技业务专业化使用需求，为检验、放射、手术麻醉等专业场景提供相适配的计算、打印、条码等设备支撑。</w:t>
      </w:r>
    </w:p>
    <w:p w14:paraId="283304DB">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满足医院信息系统统一部署和安全管理要求，确保终端设备按照内外网边界、业务区域及系统安全要求规范接入。</w:t>
      </w:r>
      <w:r>
        <w:rPr>
          <w:color w:val="auto"/>
          <w:highlight w:val="none"/>
        </w:rPr>
        <w:t>实现终端与网络、安全、信创和业务系统的统一设计，保证设备到货后能够完成客户端、驱动、网络和业务联调。</w:t>
      </w:r>
    </w:p>
    <w:p w14:paraId="16A7BF35">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rPr>
        <w:t>满足国家及省、市关于信息技术应用创新（信创）的政策要求，终端设备优先采用国产化芯片、国产操作系统及国产办公软件。</w:t>
      </w:r>
    </w:p>
    <w:p w14:paraId="23F82E23">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ascii="Times New Roman" w:hAnsi="Times New Roman" w:eastAsia="宋体" w:cs="Times New Roman"/>
          <w:color w:val="auto"/>
          <w:sz w:val="24"/>
          <w:szCs w:val="24"/>
          <w:highlight w:val="none"/>
        </w:rPr>
        <w:t>满足专项债资金规范使用要求，</w:t>
      </w:r>
      <w:r>
        <w:rPr>
          <w:rFonts w:hint="eastAsia" w:ascii="Times New Roman" w:hAnsi="Times New Roman" w:eastAsia="宋体" w:cs="Times New Roman"/>
          <w:color w:val="auto"/>
          <w:sz w:val="24"/>
          <w:szCs w:val="24"/>
          <w:highlight w:val="none"/>
        </w:rPr>
        <w:t>建立“业务强绑定优先、通用办公审慎、运行配套自筹”的设备边界，减少专项债资金用于日常运行设备的合规风险。</w:t>
      </w:r>
      <w:r>
        <w:rPr>
          <w:rFonts w:ascii="Times New Roman" w:hAnsi="Times New Roman" w:eastAsia="宋体" w:cs="Times New Roman"/>
          <w:color w:val="auto"/>
          <w:sz w:val="24"/>
          <w:szCs w:val="24"/>
          <w:highlight w:val="none"/>
        </w:rPr>
        <w:t>设备购置与项目直接相关、数量与业务需求匹配，不重复配置、不超范围配置、不设置额外备用设备。</w:t>
      </w:r>
    </w:p>
    <w:p w14:paraId="6CB689F9">
      <w:pPr>
        <w:keepNext w:val="0"/>
        <w:keepLines w:val="0"/>
        <w:pageBreakBefore w:val="0"/>
        <w:widowControl/>
        <w:numPr>
          <w:ilvl w:val="0"/>
          <w:numId w:val="8"/>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适配政府采购和集中采购要求，在设计阶段保持设备技术需求的公平、合理和可采购性。</w:t>
      </w:r>
    </w:p>
    <w:p w14:paraId="7F1A11FD">
      <w:pPr>
        <w:pStyle w:val="3"/>
        <w:bidi w:val="0"/>
        <w:ind w:left="575" w:leftChars="0" w:hanging="575" w:firstLineChars="0"/>
        <w:rPr>
          <w:rFonts w:hint="eastAsia"/>
          <w:lang w:val="en-US" w:eastAsia="zh-CN"/>
        </w:rPr>
      </w:pPr>
      <w:bookmarkStart w:id="85" w:name="_Toc192681734"/>
      <w:r>
        <w:rPr>
          <w:rFonts w:hint="eastAsia"/>
          <w:lang w:val="en-US" w:eastAsia="zh-CN"/>
        </w:rPr>
        <w:t>终端设备需求分析</w:t>
      </w:r>
      <w:bookmarkEnd w:id="85"/>
    </w:p>
    <w:p w14:paraId="3BE5AEF8">
      <w:pPr>
        <w:pStyle w:val="5"/>
        <w:bidi w:val="0"/>
        <w:ind w:left="720" w:leftChars="0" w:hanging="720" w:firstLineChars="0"/>
        <w:rPr>
          <w:rFonts w:hint="eastAsia"/>
          <w:lang w:val="en-US" w:eastAsia="zh-CN"/>
        </w:rPr>
      </w:pPr>
      <w:bookmarkStart w:id="86" w:name="_Toc2144047309"/>
      <w:r>
        <w:rPr>
          <w:rFonts w:hint="eastAsia"/>
          <w:lang w:val="en-US" w:eastAsia="zh-CN"/>
        </w:rPr>
        <w:t>需求来源与总体情况</w:t>
      </w:r>
      <w:bookmarkEnd w:id="86"/>
    </w:p>
    <w:p w14:paraId="3A3965DF">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color w:val="auto"/>
          <w:highlight w:val="none"/>
          <w:lang w:val="en-US" w:eastAsia="zh-CN"/>
        </w:rPr>
      </w:pPr>
      <w:r>
        <w:rPr>
          <w:rFonts w:ascii="Times New Roman" w:hAnsi="Times New Roman" w:eastAsia="宋体" w:cs="Times New Roman"/>
          <w:color w:val="auto"/>
          <w:sz w:val="24"/>
          <w:szCs w:val="24"/>
          <w:highlight w:val="none"/>
        </w:rPr>
        <w:t>本</w:t>
      </w:r>
      <w:r>
        <w:rPr>
          <w:rFonts w:hint="eastAsia" w:ascii="Times New Roman" w:hAnsi="Times New Roman" w:eastAsia="宋体" w:cs="Times New Roman"/>
          <w:color w:val="auto"/>
          <w:sz w:val="24"/>
          <w:szCs w:val="24"/>
          <w:highlight w:val="none"/>
          <w:lang w:val="en-US" w:eastAsia="zh-CN"/>
        </w:rPr>
        <w:t>项目</w:t>
      </w:r>
      <w:r>
        <w:rPr>
          <w:rFonts w:ascii="Times New Roman" w:hAnsi="Times New Roman" w:eastAsia="宋体" w:cs="Times New Roman"/>
          <w:color w:val="auto"/>
          <w:sz w:val="24"/>
          <w:szCs w:val="24"/>
          <w:highlight w:val="none"/>
        </w:rPr>
        <w:t>需求分析以医院确认的《麻章人民医院各科室电脑、打印机需求表》为唯一数量依据。原始需求表覆盖全院36个科室（点位），共提出设备需求644台（套），其中：内网电脑2</w:t>
      </w:r>
      <w:r>
        <w:rPr>
          <w:rFonts w:hint="eastAsia" w:ascii="Times New Roman" w:hAnsi="Times New Roman" w:eastAsia="宋体" w:cs="Times New Roman"/>
          <w:color w:val="auto"/>
          <w:sz w:val="24"/>
          <w:szCs w:val="24"/>
          <w:highlight w:val="none"/>
          <w:lang w:val="en-US" w:eastAsia="zh-CN"/>
        </w:rPr>
        <w:t>66</w:t>
      </w:r>
      <w:r>
        <w:rPr>
          <w:rFonts w:ascii="Times New Roman" w:hAnsi="Times New Roman" w:eastAsia="宋体" w:cs="Times New Roman"/>
          <w:color w:val="auto"/>
          <w:sz w:val="24"/>
          <w:szCs w:val="24"/>
          <w:highlight w:val="none"/>
        </w:rPr>
        <w:t>台、外网电脑</w:t>
      </w:r>
      <w:r>
        <w:rPr>
          <w:rFonts w:hint="eastAsia" w:ascii="Times New Roman" w:hAnsi="Times New Roman" w:eastAsia="宋体" w:cs="Times New Roman"/>
          <w:color w:val="auto"/>
          <w:sz w:val="24"/>
          <w:szCs w:val="24"/>
          <w:highlight w:val="none"/>
          <w:lang w:val="en-US" w:eastAsia="zh-CN"/>
        </w:rPr>
        <w:t>58</w:t>
      </w:r>
      <w:r>
        <w:rPr>
          <w:rFonts w:ascii="Times New Roman" w:hAnsi="Times New Roman" w:eastAsia="宋体" w:cs="Times New Roman"/>
          <w:color w:val="auto"/>
          <w:sz w:val="24"/>
          <w:szCs w:val="24"/>
          <w:highlight w:val="none"/>
        </w:rPr>
        <w:t>台、激光打印机1</w:t>
      </w:r>
      <w:r>
        <w:rPr>
          <w:rFonts w:hint="eastAsia" w:ascii="Times New Roman" w:hAnsi="Times New Roman" w:eastAsia="宋体" w:cs="Times New Roman"/>
          <w:color w:val="auto"/>
          <w:sz w:val="24"/>
          <w:szCs w:val="24"/>
          <w:highlight w:val="none"/>
          <w:lang w:val="en-US" w:eastAsia="zh-CN"/>
        </w:rPr>
        <w:t>89</w:t>
      </w:r>
      <w:r>
        <w:rPr>
          <w:rFonts w:ascii="Times New Roman" w:hAnsi="Times New Roman" w:eastAsia="宋体" w:cs="Times New Roman"/>
          <w:color w:val="auto"/>
          <w:sz w:val="24"/>
          <w:szCs w:val="24"/>
          <w:highlight w:val="none"/>
        </w:rPr>
        <w:t>台、针式打印机10台、彩色打印机3</w:t>
      </w:r>
      <w:r>
        <w:rPr>
          <w:rFonts w:hint="eastAsia" w:ascii="Times New Roman" w:hAnsi="Times New Roman" w:eastAsia="宋体" w:cs="Times New Roman"/>
          <w:color w:val="auto"/>
          <w:sz w:val="24"/>
          <w:szCs w:val="24"/>
          <w:highlight w:val="none"/>
          <w:lang w:val="en-US" w:eastAsia="zh-CN"/>
        </w:rPr>
        <w:t>2</w:t>
      </w:r>
      <w:r>
        <w:rPr>
          <w:rFonts w:ascii="Times New Roman" w:hAnsi="Times New Roman" w:eastAsia="宋体" w:cs="Times New Roman"/>
          <w:color w:val="auto"/>
          <w:sz w:val="24"/>
          <w:szCs w:val="24"/>
          <w:highlight w:val="none"/>
        </w:rPr>
        <w:t>台、条码打印机42台、大型复印机2台</w:t>
      </w:r>
      <w:r>
        <w:rPr>
          <w:rFonts w:hint="eastAsia" w:eastAsia="宋体"/>
          <w:color w:val="auto"/>
          <w:highlight w:val="none"/>
          <w:lang w:val="en-US" w:eastAsia="zh-CN"/>
        </w:rPr>
        <w:t>、热敏打印机8台。</w:t>
      </w:r>
    </w:p>
    <w:tbl>
      <w:tblPr>
        <w:tblStyle w:val="15"/>
        <w:tblW w:w="9135"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799"/>
        <w:gridCol w:w="1000"/>
        <w:gridCol w:w="937"/>
        <w:gridCol w:w="938"/>
        <w:gridCol w:w="895"/>
        <w:gridCol w:w="889"/>
        <w:gridCol w:w="767"/>
        <w:gridCol w:w="896"/>
        <w:gridCol w:w="782"/>
        <w:gridCol w:w="666"/>
      </w:tblGrid>
      <w:tr w14:paraId="08360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blHeader/>
        </w:trPr>
        <w:tc>
          <w:tcPr>
            <w:tcW w:w="566" w:type="dxa"/>
            <w:tcBorders>
              <w:top w:val="single" w:color="000000" w:sz="4" w:space="0"/>
              <w:left w:val="single" w:color="000000" w:sz="4" w:space="0"/>
              <w:bottom w:val="nil"/>
              <w:right w:val="single" w:color="000000" w:sz="4" w:space="0"/>
            </w:tcBorders>
            <w:shd w:val="clear" w:color="auto" w:fill="auto"/>
            <w:vAlign w:val="center"/>
          </w:tcPr>
          <w:p w14:paraId="0F4422B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76B5981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需求科室</w:t>
            </w:r>
          </w:p>
        </w:tc>
        <w:tc>
          <w:tcPr>
            <w:tcW w:w="1000" w:type="dxa"/>
            <w:tcBorders>
              <w:top w:val="single" w:color="000000" w:sz="4" w:space="0"/>
              <w:left w:val="single" w:color="000000" w:sz="4" w:space="0"/>
              <w:bottom w:val="nil"/>
              <w:right w:val="single" w:color="000000" w:sz="4" w:space="0"/>
            </w:tcBorders>
            <w:shd w:val="clear" w:color="auto" w:fill="auto"/>
            <w:vAlign w:val="center"/>
          </w:tcPr>
          <w:p w14:paraId="26774AE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使用区域</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（门诊/住院）</w:t>
            </w:r>
          </w:p>
        </w:tc>
        <w:tc>
          <w:tcPr>
            <w:tcW w:w="937" w:type="dxa"/>
            <w:tcBorders>
              <w:top w:val="single" w:color="000000" w:sz="4" w:space="0"/>
              <w:left w:val="single" w:color="000000" w:sz="4" w:space="0"/>
              <w:bottom w:val="nil"/>
              <w:right w:val="single" w:color="000000" w:sz="4" w:space="0"/>
            </w:tcBorders>
            <w:shd w:val="clear" w:color="auto" w:fill="auto"/>
            <w:vAlign w:val="center"/>
          </w:tcPr>
          <w:p w14:paraId="42CC068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激光打印机</w:t>
            </w:r>
          </w:p>
        </w:tc>
        <w:tc>
          <w:tcPr>
            <w:tcW w:w="938" w:type="dxa"/>
            <w:tcBorders>
              <w:top w:val="single" w:color="000000" w:sz="4" w:space="0"/>
              <w:left w:val="single" w:color="000000" w:sz="4" w:space="0"/>
              <w:bottom w:val="nil"/>
              <w:right w:val="single" w:color="000000" w:sz="4" w:space="0"/>
            </w:tcBorders>
            <w:shd w:val="clear" w:color="auto" w:fill="auto"/>
            <w:vAlign w:val="center"/>
          </w:tcPr>
          <w:p w14:paraId="26171AD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针式打印机</w:t>
            </w:r>
          </w:p>
        </w:tc>
        <w:tc>
          <w:tcPr>
            <w:tcW w:w="895" w:type="dxa"/>
            <w:tcBorders>
              <w:top w:val="single" w:color="000000" w:sz="4" w:space="0"/>
              <w:left w:val="single" w:color="000000" w:sz="4" w:space="0"/>
              <w:bottom w:val="nil"/>
              <w:right w:val="single" w:color="000000" w:sz="4" w:space="0"/>
            </w:tcBorders>
            <w:shd w:val="clear" w:color="auto" w:fill="auto"/>
            <w:vAlign w:val="center"/>
          </w:tcPr>
          <w:p w14:paraId="3F7F18A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彩色打印机</w:t>
            </w:r>
          </w:p>
        </w:tc>
        <w:tc>
          <w:tcPr>
            <w:tcW w:w="889" w:type="dxa"/>
            <w:tcBorders>
              <w:top w:val="single" w:color="000000" w:sz="4" w:space="0"/>
              <w:left w:val="single" w:color="000000" w:sz="4" w:space="0"/>
              <w:bottom w:val="nil"/>
              <w:right w:val="single" w:color="000000" w:sz="4" w:space="0"/>
            </w:tcBorders>
            <w:shd w:val="clear" w:color="auto" w:fill="auto"/>
            <w:vAlign w:val="center"/>
          </w:tcPr>
          <w:p w14:paraId="741DDFC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条码打印机</w:t>
            </w:r>
          </w:p>
        </w:tc>
        <w:tc>
          <w:tcPr>
            <w:tcW w:w="767" w:type="dxa"/>
            <w:tcBorders>
              <w:top w:val="single" w:color="000000" w:sz="4" w:space="0"/>
              <w:left w:val="single" w:color="000000" w:sz="4" w:space="0"/>
              <w:bottom w:val="nil"/>
              <w:right w:val="single" w:color="000000" w:sz="4" w:space="0"/>
            </w:tcBorders>
            <w:shd w:val="clear" w:color="auto" w:fill="auto"/>
            <w:vAlign w:val="center"/>
          </w:tcPr>
          <w:p w14:paraId="47A4E03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大型复印机</w:t>
            </w:r>
          </w:p>
        </w:tc>
        <w:tc>
          <w:tcPr>
            <w:tcW w:w="896" w:type="dxa"/>
            <w:tcBorders>
              <w:top w:val="single" w:color="000000" w:sz="4" w:space="0"/>
              <w:left w:val="single" w:color="000000" w:sz="4" w:space="0"/>
              <w:bottom w:val="nil"/>
              <w:right w:val="single" w:color="000000" w:sz="4" w:space="0"/>
            </w:tcBorders>
            <w:shd w:val="clear" w:color="auto" w:fill="auto"/>
            <w:vAlign w:val="center"/>
          </w:tcPr>
          <w:p w14:paraId="3079B11F">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内网电脑</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（医院系统用）</w:t>
            </w:r>
          </w:p>
        </w:tc>
        <w:tc>
          <w:tcPr>
            <w:tcW w:w="782" w:type="dxa"/>
            <w:tcBorders>
              <w:top w:val="single" w:color="000000" w:sz="4" w:space="0"/>
              <w:left w:val="single" w:color="000000" w:sz="4" w:space="0"/>
              <w:bottom w:val="nil"/>
              <w:right w:val="single" w:color="000000" w:sz="4" w:space="0"/>
            </w:tcBorders>
            <w:shd w:val="clear" w:color="auto" w:fill="auto"/>
            <w:vAlign w:val="center"/>
          </w:tcPr>
          <w:p w14:paraId="3DA3B61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外网电脑</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（互联网用）</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AEF5216">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备注</w:t>
            </w:r>
          </w:p>
        </w:tc>
      </w:tr>
      <w:tr w14:paraId="50FF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B0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B5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信息科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89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094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1B6D">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23C4">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4156">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06702">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CA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73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2386">
            <w:pPr>
              <w:jc w:val="center"/>
              <w:rPr>
                <w:rFonts w:hint="eastAsia" w:ascii="宋体" w:hAnsi="宋体" w:eastAsia="宋体" w:cs="宋体"/>
                <w:i w:val="0"/>
                <w:iCs w:val="0"/>
                <w:color w:val="auto"/>
                <w:sz w:val="22"/>
                <w:szCs w:val="22"/>
                <w:highlight w:val="none"/>
                <w:u w:val="none"/>
              </w:rPr>
            </w:pPr>
          </w:p>
        </w:tc>
      </w:tr>
      <w:tr w14:paraId="3455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DE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E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保卫科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18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E0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31346">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14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2C05">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1019E">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5E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A4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DD67">
            <w:pPr>
              <w:jc w:val="center"/>
              <w:rPr>
                <w:rFonts w:hint="eastAsia" w:ascii="宋体" w:hAnsi="宋体" w:eastAsia="宋体" w:cs="宋体"/>
                <w:i w:val="0"/>
                <w:iCs w:val="0"/>
                <w:color w:val="auto"/>
                <w:sz w:val="22"/>
                <w:szCs w:val="22"/>
                <w:highlight w:val="none"/>
                <w:u w:val="none"/>
              </w:rPr>
            </w:pPr>
          </w:p>
        </w:tc>
      </w:tr>
      <w:tr w14:paraId="452B7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AE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CE0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综合内科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89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DD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E706B">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22B9">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BEFC">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9CC4">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B5A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3F53A">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3D8C">
            <w:pPr>
              <w:jc w:val="center"/>
              <w:rPr>
                <w:rFonts w:hint="eastAsia" w:ascii="宋体" w:hAnsi="宋体" w:eastAsia="宋体" w:cs="宋体"/>
                <w:i w:val="0"/>
                <w:iCs w:val="0"/>
                <w:color w:val="auto"/>
                <w:sz w:val="22"/>
                <w:szCs w:val="22"/>
                <w:highlight w:val="none"/>
                <w:u w:val="none"/>
              </w:rPr>
            </w:pPr>
          </w:p>
        </w:tc>
      </w:tr>
      <w:tr w14:paraId="6B21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74AF">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CB09C">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21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5C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74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9F358">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C95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053A">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F5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C60D7">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D056">
            <w:pPr>
              <w:jc w:val="center"/>
              <w:rPr>
                <w:rFonts w:hint="eastAsia" w:ascii="宋体" w:hAnsi="宋体" w:eastAsia="宋体" w:cs="宋体"/>
                <w:i w:val="0"/>
                <w:iCs w:val="0"/>
                <w:color w:val="auto"/>
                <w:sz w:val="22"/>
                <w:szCs w:val="22"/>
                <w:highlight w:val="none"/>
                <w:u w:val="none"/>
              </w:rPr>
            </w:pPr>
          </w:p>
        </w:tc>
      </w:tr>
      <w:tr w14:paraId="5B971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33592">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EE7D">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152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DA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462A">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A565">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144B">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CF39">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3D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6F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9C9D">
            <w:pPr>
              <w:jc w:val="center"/>
              <w:rPr>
                <w:rFonts w:hint="eastAsia" w:ascii="宋体" w:hAnsi="宋体" w:eastAsia="宋体" w:cs="宋体"/>
                <w:i w:val="0"/>
                <w:iCs w:val="0"/>
                <w:color w:val="auto"/>
                <w:sz w:val="22"/>
                <w:szCs w:val="22"/>
                <w:highlight w:val="none"/>
                <w:u w:val="none"/>
              </w:rPr>
            </w:pPr>
          </w:p>
        </w:tc>
      </w:tr>
      <w:tr w14:paraId="44D0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FE7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71B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综合外科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17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2B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23B7">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4432F">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C834">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ED38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43A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D29E3">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B603">
            <w:pPr>
              <w:jc w:val="center"/>
              <w:rPr>
                <w:rFonts w:hint="eastAsia" w:ascii="宋体" w:hAnsi="宋体" w:eastAsia="宋体" w:cs="宋体"/>
                <w:i w:val="0"/>
                <w:iCs w:val="0"/>
                <w:color w:val="auto"/>
                <w:sz w:val="22"/>
                <w:szCs w:val="22"/>
                <w:highlight w:val="none"/>
                <w:u w:val="none"/>
              </w:rPr>
            </w:pPr>
          </w:p>
        </w:tc>
      </w:tr>
      <w:tr w14:paraId="751B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6A75">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744B7">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C4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0A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4C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E6C9">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BF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4A6D7">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C6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08A2">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CEE9">
            <w:pPr>
              <w:jc w:val="center"/>
              <w:rPr>
                <w:rFonts w:hint="eastAsia" w:ascii="宋体" w:hAnsi="宋体" w:eastAsia="宋体" w:cs="宋体"/>
                <w:i w:val="0"/>
                <w:iCs w:val="0"/>
                <w:color w:val="auto"/>
                <w:sz w:val="22"/>
                <w:szCs w:val="22"/>
                <w:highlight w:val="none"/>
                <w:u w:val="none"/>
              </w:rPr>
            </w:pPr>
          </w:p>
        </w:tc>
      </w:tr>
      <w:tr w14:paraId="77C3D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A6CD">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F278D">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06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3B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A505">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B61D">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45C99">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EEE86">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1E0D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F9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A2088">
            <w:pPr>
              <w:jc w:val="center"/>
              <w:rPr>
                <w:rFonts w:hint="eastAsia" w:ascii="宋体" w:hAnsi="宋体" w:eastAsia="宋体" w:cs="宋体"/>
                <w:i w:val="0"/>
                <w:iCs w:val="0"/>
                <w:color w:val="auto"/>
                <w:sz w:val="22"/>
                <w:szCs w:val="22"/>
                <w:highlight w:val="none"/>
                <w:u w:val="none"/>
              </w:rPr>
            </w:pPr>
          </w:p>
        </w:tc>
      </w:tr>
      <w:tr w14:paraId="58B35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95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776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康复科（医养）</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（两层楼）</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C0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C3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54E09">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07F1">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BB85">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D627">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CD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BF30">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737F">
            <w:pPr>
              <w:jc w:val="center"/>
              <w:rPr>
                <w:rFonts w:hint="eastAsia" w:ascii="宋体" w:hAnsi="宋体" w:eastAsia="宋体" w:cs="宋体"/>
                <w:i w:val="0"/>
                <w:iCs w:val="0"/>
                <w:color w:val="auto"/>
                <w:sz w:val="22"/>
                <w:szCs w:val="22"/>
                <w:highlight w:val="none"/>
                <w:u w:val="none"/>
              </w:rPr>
            </w:pPr>
          </w:p>
        </w:tc>
      </w:tr>
      <w:tr w14:paraId="4BCB1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3ECD">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AA5D2">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17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8C2D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B4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7FE62">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F0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6B47">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F731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C875">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92C1">
            <w:pPr>
              <w:jc w:val="center"/>
              <w:rPr>
                <w:rFonts w:hint="eastAsia" w:ascii="宋体" w:hAnsi="宋体" w:eastAsia="宋体" w:cs="宋体"/>
                <w:i w:val="0"/>
                <w:iCs w:val="0"/>
                <w:color w:val="auto"/>
                <w:sz w:val="22"/>
                <w:szCs w:val="22"/>
                <w:highlight w:val="none"/>
                <w:u w:val="none"/>
              </w:rPr>
            </w:pPr>
          </w:p>
        </w:tc>
      </w:tr>
      <w:tr w14:paraId="0DF93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14D6">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67B34">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F9C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71A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4EE6">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9687">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104B">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E18C">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CE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5F5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511A">
            <w:pPr>
              <w:jc w:val="center"/>
              <w:rPr>
                <w:rFonts w:hint="eastAsia" w:ascii="宋体" w:hAnsi="宋体" w:eastAsia="宋体" w:cs="宋体"/>
                <w:i w:val="0"/>
                <w:iCs w:val="0"/>
                <w:color w:val="auto"/>
                <w:sz w:val="22"/>
                <w:szCs w:val="22"/>
                <w:highlight w:val="none"/>
                <w:u w:val="none"/>
              </w:rPr>
            </w:pPr>
          </w:p>
        </w:tc>
      </w:tr>
      <w:tr w14:paraId="7820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222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44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放射科</w:t>
            </w:r>
          </w:p>
        </w:tc>
        <w:tc>
          <w:tcPr>
            <w:tcW w:w="1000" w:type="dxa"/>
            <w:tcBorders>
              <w:top w:val="nil"/>
              <w:left w:val="nil"/>
              <w:bottom w:val="nil"/>
              <w:right w:val="nil"/>
            </w:tcBorders>
            <w:shd w:val="clear" w:color="auto" w:fill="auto"/>
            <w:vAlign w:val="center"/>
          </w:tcPr>
          <w:p w14:paraId="7EADB2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住院一楼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20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2044">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C164">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2B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C58A">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07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A2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55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医用显示器9台</w:t>
            </w:r>
          </w:p>
        </w:tc>
      </w:tr>
      <w:tr w14:paraId="0BDE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62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082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检验科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12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418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9C50">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A8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E0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2CA5D">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A0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406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14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黑白打印机20台</w:t>
            </w:r>
          </w:p>
        </w:tc>
      </w:tr>
      <w:tr w14:paraId="01FF6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8BF">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85A5">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18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门诊1楼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4E0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B5618">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33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B1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FB7F">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3D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4AC47">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D271A">
            <w:pPr>
              <w:jc w:val="center"/>
              <w:rPr>
                <w:rFonts w:hint="eastAsia" w:ascii="宋体" w:hAnsi="宋体" w:eastAsia="宋体" w:cs="宋体"/>
                <w:i w:val="0"/>
                <w:iCs w:val="0"/>
                <w:color w:val="auto"/>
                <w:sz w:val="22"/>
                <w:szCs w:val="22"/>
                <w:highlight w:val="none"/>
                <w:u w:val="none"/>
              </w:rPr>
            </w:pPr>
          </w:p>
        </w:tc>
      </w:tr>
      <w:tr w14:paraId="02A4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6B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11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供应室</w:t>
            </w:r>
          </w:p>
        </w:tc>
        <w:tc>
          <w:tcPr>
            <w:tcW w:w="1000" w:type="dxa"/>
            <w:tcBorders>
              <w:top w:val="nil"/>
              <w:left w:val="nil"/>
              <w:bottom w:val="nil"/>
              <w:right w:val="nil"/>
            </w:tcBorders>
            <w:shd w:val="clear" w:color="auto" w:fill="auto"/>
            <w:vAlign w:val="center"/>
          </w:tcPr>
          <w:p w14:paraId="6DB908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住院一楼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B2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B1AC">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4137">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5D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2D68">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6B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901B">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26C5">
            <w:pPr>
              <w:jc w:val="center"/>
              <w:rPr>
                <w:rFonts w:hint="eastAsia" w:ascii="宋体" w:hAnsi="宋体" w:eastAsia="宋体" w:cs="宋体"/>
                <w:i w:val="0"/>
                <w:iCs w:val="0"/>
                <w:color w:val="auto"/>
                <w:sz w:val="22"/>
                <w:szCs w:val="22"/>
                <w:highlight w:val="none"/>
                <w:u w:val="none"/>
              </w:rPr>
            </w:pPr>
          </w:p>
        </w:tc>
      </w:tr>
      <w:tr w14:paraId="4B03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8E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025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收费处</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B2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住院楼一楼</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出入院办理处</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9F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053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9BCD">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E04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0FA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EB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4016">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B7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另配3台热敏打印机</w:t>
            </w:r>
          </w:p>
        </w:tc>
      </w:tr>
      <w:tr w14:paraId="7ABA6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6C6E">
            <w:pPr>
              <w:jc w:val="center"/>
              <w:rPr>
                <w:rFonts w:hint="eastAsia" w:ascii="宋体" w:hAnsi="宋体" w:eastAsia="宋体" w:cs="宋体"/>
                <w:i w:val="0"/>
                <w:iCs w:val="0"/>
                <w:color w:val="auto"/>
                <w:sz w:val="22"/>
                <w:szCs w:val="22"/>
                <w:highlight w:val="none"/>
                <w:u w:val="none"/>
              </w:rPr>
            </w:pP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3187">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3A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门诊楼一楼收费处</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82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6D16">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DD7A">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04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228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6E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1FED">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9C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另配5台热敏打印机</w:t>
            </w:r>
          </w:p>
        </w:tc>
      </w:tr>
      <w:tr w14:paraId="70F1E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4B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CD5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妇科门诊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AD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CE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408E">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350BA">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DBA5">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A852">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A7B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BDCB">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49B6">
            <w:pPr>
              <w:jc w:val="center"/>
              <w:rPr>
                <w:rFonts w:hint="eastAsia" w:ascii="宋体" w:hAnsi="宋体" w:eastAsia="宋体" w:cs="宋体"/>
                <w:i w:val="0"/>
                <w:iCs w:val="0"/>
                <w:color w:val="auto"/>
                <w:sz w:val="22"/>
                <w:szCs w:val="22"/>
                <w:highlight w:val="none"/>
                <w:u w:val="none"/>
              </w:rPr>
            </w:pPr>
          </w:p>
        </w:tc>
      </w:tr>
      <w:tr w14:paraId="17793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1A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AB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产科门诊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93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81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223E">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628F">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1C0D">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BA13">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D8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85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9E1A">
            <w:pPr>
              <w:jc w:val="center"/>
              <w:rPr>
                <w:rFonts w:hint="eastAsia" w:ascii="宋体" w:hAnsi="宋体" w:eastAsia="宋体" w:cs="宋体"/>
                <w:i w:val="0"/>
                <w:iCs w:val="0"/>
                <w:color w:val="auto"/>
                <w:sz w:val="22"/>
                <w:szCs w:val="22"/>
                <w:highlight w:val="none"/>
                <w:u w:val="none"/>
              </w:rPr>
            </w:pPr>
          </w:p>
        </w:tc>
      </w:tr>
      <w:tr w14:paraId="3796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A1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4035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人流室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EF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6F9E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5C8E">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28EB">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F343">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8F7A">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E2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F34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EF20">
            <w:pPr>
              <w:jc w:val="center"/>
              <w:rPr>
                <w:rFonts w:hint="eastAsia" w:ascii="宋体" w:hAnsi="宋体" w:eastAsia="宋体" w:cs="宋体"/>
                <w:i w:val="0"/>
                <w:iCs w:val="0"/>
                <w:color w:val="auto"/>
                <w:sz w:val="22"/>
                <w:szCs w:val="22"/>
                <w:highlight w:val="none"/>
                <w:u w:val="none"/>
              </w:rPr>
            </w:pPr>
          </w:p>
        </w:tc>
      </w:tr>
      <w:tr w14:paraId="4A28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33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AC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18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DF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2ED0">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D766">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A53">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AF06">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EA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E8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0F86">
            <w:pPr>
              <w:jc w:val="center"/>
              <w:rPr>
                <w:rFonts w:hint="eastAsia" w:ascii="宋体" w:hAnsi="宋体" w:eastAsia="宋体" w:cs="宋体"/>
                <w:i w:val="0"/>
                <w:iCs w:val="0"/>
                <w:color w:val="auto"/>
                <w:sz w:val="22"/>
                <w:szCs w:val="22"/>
                <w:highlight w:val="none"/>
                <w:u w:val="none"/>
              </w:rPr>
            </w:pPr>
          </w:p>
        </w:tc>
      </w:tr>
      <w:tr w14:paraId="4A0F3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60F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73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72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80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5B98">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2E87">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2898A">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8474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07F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77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B152E">
            <w:pPr>
              <w:jc w:val="center"/>
              <w:rPr>
                <w:rFonts w:hint="eastAsia" w:ascii="宋体" w:hAnsi="宋体" w:eastAsia="宋体" w:cs="宋体"/>
                <w:i w:val="0"/>
                <w:iCs w:val="0"/>
                <w:color w:val="auto"/>
                <w:sz w:val="22"/>
                <w:szCs w:val="22"/>
                <w:highlight w:val="none"/>
                <w:u w:val="none"/>
              </w:rPr>
            </w:pPr>
          </w:p>
        </w:tc>
      </w:tr>
      <w:tr w14:paraId="0C20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6F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90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外科手术室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B7C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外科手术室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28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0252">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7DC2">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D294">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E45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27F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64A4">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0025">
            <w:pPr>
              <w:jc w:val="center"/>
              <w:rPr>
                <w:rFonts w:hint="eastAsia" w:ascii="宋体" w:hAnsi="宋体" w:eastAsia="宋体" w:cs="宋体"/>
                <w:i w:val="0"/>
                <w:iCs w:val="0"/>
                <w:color w:val="auto"/>
                <w:sz w:val="22"/>
                <w:szCs w:val="22"/>
                <w:highlight w:val="none"/>
                <w:u w:val="none"/>
              </w:rPr>
            </w:pPr>
          </w:p>
        </w:tc>
      </w:tr>
      <w:tr w14:paraId="5058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5E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81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康复、理疗门诊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385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康复、理疗门诊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D0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8AB39">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387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15B3">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F74B">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E39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512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5878B">
            <w:pPr>
              <w:jc w:val="center"/>
              <w:rPr>
                <w:rFonts w:hint="eastAsia" w:ascii="宋体" w:hAnsi="宋体" w:eastAsia="宋体" w:cs="宋体"/>
                <w:i w:val="0"/>
                <w:iCs w:val="0"/>
                <w:color w:val="auto"/>
                <w:sz w:val="22"/>
                <w:szCs w:val="22"/>
                <w:highlight w:val="none"/>
                <w:u w:val="none"/>
              </w:rPr>
            </w:pPr>
          </w:p>
        </w:tc>
      </w:tr>
      <w:tr w14:paraId="46D2E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39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DDD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VIP诊室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5ED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VIP诊室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2B3C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A32E">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A586">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4420">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042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EC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86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E7A7">
            <w:pPr>
              <w:jc w:val="center"/>
              <w:rPr>
                <w:rFonts w:hint="eastAsia" w:ascii="宋体" w:hAnsi="宋体" w:eastAsia="宋体" w:cs="宋体"/>
                <w:i w:val="0"/>
                <w:iCs w:val="0"/>
                <w:color w:val="auto"/>
                <w:sz w:val="22"/>
                <w:szCs w:val="22"/>
                <w:highlight w:val="none"/>
                <w:u w:val="none"/>
              </w:rPr>
            </w:pPr>
          </w:p>
        </w:tc>
      </w:tr>
      <w:tr w14:paraId="4B8A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82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481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口腔科门诊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81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口腔科门诊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7E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61D8C">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D3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78CE">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CB13A">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3D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29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D6F4">
            <w:pPr>
              <w:jc w:val="center"/>
              <w:rPr>
                <w:rFonts w:hint="eastAsia" w:ascii="宋体" w:hAnsi="宋体" w:eastAsia="宋体" w:cs="宋体"/>
                <w:i w:val="0"/>
                <w:iCs w:val="0"/>
                <w:color w:val="auto"/>
                <w:sz w:val="22"/>
                <w:szCs w:val="22"/>
                <w:highlight w:val="none"/>
                <w:u w:val="none"/>
              </w:rPr>
            </w:pPr>
          </w:p>
        </w:tc>
      </w:tr>
      <w:tr w14:paraId="494F5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D6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24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耳鼻喉科门诊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03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耳鼻喉科门诊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5F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64BA">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F3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324E">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C4A2">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FBC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10E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C892">
            <w:pPr>
              <w:jc w:val="center"/>
              <w:rPr>
                <w:rFonts w:hint="eastAsia" w:ascii="宋体" w:hAnsi="宋体" w:eastAsia="宋体" w:cs="宋体"/>
                <w:i w:val="0"/>
                <w:iCs w:val="0"/>
                <w:color w:val="auto"/>
                <w:sz w:val="22"/>
                <w:szCs w:val="22"/>
                <w:highlight w:val="none"/>
                <w:u w:val="none"/>
              </w:rPr>
            </w:pPr>
          </w:p>
        </w:tc>
      </w:tr>
      <w:tr w14:paraId="6CFD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B8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57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皮肤科门诊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6E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皮肤科门诊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3CA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B58A">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94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E234">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0FD6">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F3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1FC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369D">
            <w:pPr>
              <w:jc w:val="center"/>
              <w:rPr>
                <w:rFonts w:hint="eastAsia" w:ascii="宋体" w:hAnsi="宋体" w:eastAsia="宋体" w:cs="宋体"/>
                <w:i w:val="0"/>
                <w:iCs w:val="0"/>
                <w:color w:val="auto"/>
                <w:sz w:val="22"/>
                <w:szCs w:val="22"/>
                <w:highlight w:val="none"/>
                <w:u w:val="none"/>
              </w:rPr>
            </w:pPr>
          </w:p>
        </w:tc>
      </w:tr>
      <w:tr w14:paraId="68CFE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11D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67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儿科门诊</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A0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儿科门诊</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7A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F82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C02D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E8D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1C12">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EB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147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E12D4">
            <w:pPr>
              <w:jc w:val="center"/>
              <w:rPr>
                <w:rFonts w:hint="eastAsia" w:ascii="宋体" w:hAnsi="宋体" w:eastAsia="宋体" w:cs="宋体"/>
                <w:i w:val="0"/>
                <w:iCs w:val="0"/>
                <w:color w:val="auto"/>
                <w:sz w:val="22"/>
                <w:szCs w:val="22"/>
                <w:highlight w:val="none"/>
                <w:u w:val="none"/>
              </w:rPr>
            </w:pPr>
          </w:p>
        </w:tc>
      </w:tr>
      <w:tr w14:paraId="5869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C75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8A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门诊护士站</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30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门诊护士站</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DB7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EA26">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27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56AC">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216D0">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E6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BFB3">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B803">
            <w:pPr>
              <w:jc w:val="center"/>
              <w:rPr>
                <w:rFonts w:hint="eastAsia" w:ascii="宋体" w:hAnsi="宋体" w:eastAsia="宋体" w:cs="宋体"/>
                <w:i w:val="0"/>
                <w:iCs w:val="0"/>
                <w:color w:val="auto"/>
                <w:sz w:val="22"/>
                <w:szCs w:val="22"/>
                <w:highlight w:val="none"/>
                <w:u w:val="none"/>
              </w:rPr>
            </w:pPr>
          </w:p>
        </w:tc>
      </w:tr>
      <w:tr w14:paraId="6F911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5D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95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门诊部主任、</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护长办公室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DE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C4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FBE3">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DD01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992E">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EFF0">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C4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7E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2DF10">
            <w:pPr>
              <w:jc w:val="center"/>
              <w:rPr>
                <w:rFonts w:hint="eastAsia" w:ascii="宋体" w:hAnsi="宋体" w:eastAsia="宋体" w:cs="宋体"/>
                <w:i w:val="0"/>
                <w:iCs w:val="0"/>
                <w:color w:val="auto"/>
                <w:sz w:val="22"/>
                <w:szCs w:val="22"/>
                <w:highlight w:val="none"/>
                <w:u w:val="none"/>
              </w:rPr>
            </w:pPr>
          </w:p>
        </w:tc>
      </w:tr>
      <w:tr w14:paraId="69B4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52C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C4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门诊部会议室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02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门诊部会议室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BCBCB">
            <w:pPr>
              <w:jc w:val="center"/>
              <w:rPr>
                <w:rFonts w:hint="eastAsia" w:ascii="宋体" w:hAnsi="宋体" w:eastAsia="宋体" w:cs="宋体"/>
                <w:i w:val="0"/>
                <w:iCs w:val="0"/>
                <w:color w:val="auto"/>
                <w:sz w:val="22"/>
                <w:szCs w:val="22"/>
                <w:highlight w:val="none"/>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6668">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05A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565E">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D4EE">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6388">
            <w:pPr>
              <w:jc w:val="center"/>
              <w:rPr>
                <w:rFonts w:hint="eastAsia" w:ascii="宋体" w:hAnsi="宋体" w:eastAsia="宋体" w:cs="宋体"/>
                <w:i w:val="0"/>
                <w:iCs w:val="0"/>
                <w:color w:val="auto"/>
                <w:sz w:val="22"/>
                <w:szCs w:val="22"/>
                <w:highlight w:val="none"/>
                <w:u w:val="none"/>
              </w:rPr>
            </w:pP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BA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5F62">
            <w:pPr>
              <w:jc w:val="center"/>
              <w:rPr>
                <w:rFonts w:hint="eastAsia" w:ascii="宋体" w:hAnsi="宋体" w:eastAsia="宋体" w:cs="宋体"/>
                <w:i w:val="0"/>
                <w:iCs w:val="0"/>
                <w:color w:val="auto"/>
                <w:sz w:val="22"/>
                <w:szCs w:val="22"/>
                <w:highlight w:val="none"/>
                <w:u w:val="none"/>
              </w:rPr>
            </w:pPr>
          </w:p>
        </w:tc>
      </w:tr>
      <w:tr w14:paraId="7988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6F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66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公共卫生科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DB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（慢病中心、治未病）</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9C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536C">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D4B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5262">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42DD">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F1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07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266F">
            <w:pPr>
              <w:jc w:val="center"/>
              <w:rPr>
                <w:rFonts w:hint="eastAsia" w:ascii="宋体" w:hAnsi="宋体" w:eastAsia="宋体" w:cs="宋体"/>
                <w:i w:val="0"/>
                <w:iCs w:val="0"/>
                <w:color w:val="auto"/>
                <w:sz w:val="22"/>
                <w:szCs w:val="22"/>
                <w:highlight w:val="none"/>
                <w:u w:val="none"/>
              </w:rPr>
            </w:pPr>
          </w:p>
        </w:tc>
      </w:tr>
      <w:tr w14:paraId="584B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85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0C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病案室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09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0DD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9CAD">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EF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FD5B">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9E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2BE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47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7DA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激光打印机可理解为大型激光复印机</w:t>
            </w:r>
          </w:p>
        </w:tc>
      </w:tr>
      <w:tr w14:paraId="7DAE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12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41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功能检查科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2A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DBAF">
            <w:pPr>
              <w:jc w:val="center"/>
              <w:rPr>
                <w:rFonts w:hint="eastAsia" w:ascii="宋体" w:hAnsi="宋体" w:eastAsia="宋体" w:cs="宋体"/>
                <w:i w:val="0"/>
                <w:iCs w:val="0"/>
                <w:color w:val="auto"/>
                <w:sz w:val="22"/>
                <w:szCs w:val="22"/>
                <w:highlight w:val="none"/>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F63DD">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3B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AA8C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EA5C">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60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90E0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6801">
            <w:pPr>
              <w:jc w:val="center"/>
              <w:rPr>
                <w:rFonts w:hint="eastAsia" w:ascii="宋体" w:hAnsi="宋体" w:eastAsia="宋体" w:cs="宋体"/>
                <w:i w:val="0"/>
                <w:iCs w:val="0"/>
                <w:color w:val="auto"/>
                <w:sz w:val="22"/>
                <w:szCs w:val="22"/>
                <w:highlight w:val="none"/>
                <w:u w:val="none"/>
              </w:rPr>
            </w:pPr>
          </w:p>
        </w:tc>
      </w:tr>
      <w:tr w14:paraId="4376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2BC8CE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C35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病理科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D2A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31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490F">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76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6E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8438">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C7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65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20D9E">
            <w:pPr>
              <w:jc w:val="center"/>
              <w:rPr>
                <w:rFonts w:hint="eastAsia" w:ascii="宋体" w:hAnsi="宋体" w:eastAsia="宋体" w:cs="宋体"/>
                <w:i w:val="0"/>
                <w:iCs w:val="0"/>
                <w:color w:val="auto"/>
                <w:sz w:val="22"/>
                <w:szCs w:val="22"/>
                <w:highlight w:val="none"/>
                <w:u w:val="none"/>
              </w:rPr>
            </w:pPr>
          </w:p>
        </w:tc>
      </w:tr>
      <w:tr w14:paraId="2F2A0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256809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824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急诊科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D4F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门诊1楼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58D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EA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526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AE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C087">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187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E53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A0CC">
            <w:pPr>
              <w:jc w:val="center"/>
              <w:rPr>
                <w:rFonts w:hint="eastAsia" w:ascii="宋体" w:hAnsi="宋体" w:eastAsia="宋体" w:cs="宋体"/>
                <w:i w:val="0"/>
                <w:iCs w:val="0"/>
                <w:color w:val="auto"/>
                <w:sz w:val="22"/>
                <w:szCs w:val="22"/>
                <w:highlight w:val="none"/>
                <w:u w:val="none"/>
              </w:rPr>
            </w:pPr>
          </w:p>
        </w:tc>
      </w:tr>
      <w:tr w14:paraId="5722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3DDDC30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7E3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3楼手术室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87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A80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D8E95">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EF8B">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31BD">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10FCC">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88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375B">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AD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激光打印机（统一打印手术记录）</w:t>
            </w:r>
          </w:p>
        </w:tc>
      </w:tr>
      <w:tr w14:paraId="0C000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56E0FC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8D3A1">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24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手术间10间</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4BB01">
            <w:pPr>
              <w:jc w:val="center"/>
              <w:rPr>
                <w:rFonts w:hint="eastAsia" w:ascii="宋体" w:hAnsi="宋体" w:eastAsia="宋体" w:cs="宋体"/>
                <w:i w:val="0"/>
                <w:iCs w:val="0"/>
                <w:color w:val="auto"/>
                <w:sz w:val="22"/>
                <w:szCs w:val="22"/>
                <w:highlight w:val="none"/>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BA4D">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13BD">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79CEE">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D09E">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76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A0D1">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85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电脑（医护各一专用）</w:t>
            </w:r>
          </w:p>
        </w:tc>
      </w:tr>
      <w:tr w14:paraId="340AB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02DA75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A5568">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03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复苏室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30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78FF">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DE8CF">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E995">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3E65">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22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8E52">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AAB2">
            <w:pPr>
              <w:jc w:val="center"/>
              <w:rPr>
                <w:rFonts w:hint="eastAsia" w:ascii="宋体" w:hAnsi="宋体" w:eastAsia="宋体" w:cs="宋体"/>
                <w:i w:val="0"/>
                <w:iCs w:val="0"/>
                <w:color w:val="auto"/>
                <w:sz w:val="22"/>
                <w:szCs w:val="22"/>
                <w:highlight w:val="none"/>
                <w:u w:val="none"/>
              </w:rPr>
            </w:pPr>
          </w:p>
        </w:tc>
      </w:tr>
      <w:tr w14:paraId="5112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441C4DD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3A49D">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81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1B6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67A9">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DED7">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22E3">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EB9C">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3B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C246">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4783">
            <w:pPr>
              <w:jc w:val="center"/>
              <w:rPr>
                <w:rFonts w:hint="eastAsia" w:ascii="宋体" w:hAnsi="宋体" w:eastAsia="宋体" w:cs="宋体"/>
                <w:i w:val="0"/>
                <w:iCs w:val="0"/>
                <w:color w:val="auto"/>
                <w:sz w:val="22"/>
                <w:szCs w:val="22"/>
                <w:highlight w:val="none"/>
                <w:u w:val="none"/>
              </w:rPr>
            </w:pPr>
          </w:p>
        </w:tc>
      </w:tr>
      <w:tr w14:paraId="03D3D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280094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93030">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3C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80B0">
            <w:pPr>
              <w:jc w:val="center"/>
              <w:rPr>
                <w:rFonts w:hint="eastAsia" w:ascii="宋体" w:hAnsi="宋体" w:eastAsia="宋体" w:cs="宋体"/>
                <w:i w:val="0"/>
                <w:iCs w:val="0"/>
                <w:color w:val="auto"/>
                <w:sz w:val="22"/>
                <w:szCs w:val="22"/>
                <w:highlight w:val="none"/>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401E">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531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B902">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0CD6">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BD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7E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46F7">
            <w:pPr>
              <w:jc w:val="center"/>
              <w:rPr>
                <w:rFonts w:hint="eastAsia" w:ascii="宋体" w:hAnsi="宋体" w:eastAsia="宋体" w:cs="宋体"/>
                <w:i w:val="0"/>
                <w:iCs w:val="0"/>
                <w:color w:val="auto"/>
                <w:sz w:val="22"/>
                <w:szCs w:val="22"/>
                <w:highlight w:val="none"/>
                <w:u w:val="none"/>
              </w:rPr>
            </w:pPr>
          </w:p>
        </w:tc>
      </w:tr>
      <w:tr w14:paraId="6735F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7EA817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4DA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药学部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13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中药房</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0B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0F11">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C594">
            <w:pPr>
              <w:jc w:val="center"/>
              <w:rPr>
                <w:rFonts w:hint="eastAsia" w:ascii="宋体" w:hAnsi="宋体" w:eastAsia="宋体" w:cs="宋体"/>
                <w:i w:val="0"/>
                <w:iCs w:val="0"/>
                <w:color w:val="auto"/>
                <w:sz w:val="22"/>
                <w:szCs w:val="22"/>
                <w:highlight w:val="none"/>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E70F">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F802">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BB1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D63C">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D4B4C">
            <w:pPr>
              <w:jc w:val="center"/>
              <w:rPr>
                <w:rFonts w:hint="eastAsia" w:ascii="宋体" w:hAnsi="宋体" w:eastAsia="宋体" w:cs="宋体"/>
                <w:i w:val="0"/>
                <w:iCs w:val="0"/>
                <w:color w:val="auto"/>
                <w:sz w:val="22"/>
                <w:szCs w:val="22"/>
                <w:highlight w:val="none"/>
                <w:u w:val="none"/>
              </w:rPr>
            </w:pPr>
          </w:p>
        </w:tc>
      </w:tr>
      <w:tr w14:paraId="5E765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17A0F7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35956">
            <w:pPr>
              <w:jc w:val="center"/>
              <w:rPr>
                <w:rFonts w:hint="eastAsia" w:ascii="宋体" w:hAnsi="宋体" w:eastAsia="宋体" w:cs="宋体"/>
                <w:i w:val="0"/>
                <w:iCs w:val="0"/>
                <w:color w:val="auto"/>
                <w:sz w:val="22"/>
                <w:szCs w:val="22"/>
                <w:highlight w:val="none"/>
                <w:u w:val="none"/>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0F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西药房</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4B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3B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FA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62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0781">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ED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34E7">
            <w:pPr>
              <w:jc w:val="center"/>
              <w:rPr>
                <w:rFonts w:hint="eastAsia" w:ascii="宋体" w:hAnsi="宋体" w:eastAsia="宋体" w:cs="宋体"/>
                <w:i w:val="0"/>
                <w:iCs w:val="0"/>
                <w:color w:val="auto"/>
                <w:sz w:val="22"/>
                <w:szCs w:val="22"/>
                <w:highlight w:val="none"/>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0E05">
            <w:pPr>
              <w:jc w:val="center"/>
              <w:rPr>
                <w:rFonts w:hint="eastAsia" w:ascii="宋体" w:hAnsi="宋体" w:eastAsia="宋体" w:cs="宋体"/>
                <w:i w:val="0"/>
                <w:iCs w:val="0"/>
                <w:color w:val="auto"/>
                <w:sz w:val="22"/>
                <w:szCs w:val="22"/>
                <w:highlight w:val="none"/>
                <w:u w:val="none"/>
              </w:rPr>
            </w:pPr>
          </w:p>
        </w:tc>
      </w:tr>
      <w:tr w14:paraId="1EDE0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66" w:type="dxa"/>
            <w:tcBorders>
              <w:top w:val="single" w:color="000000" w:sz="4" w:space="0"/>
              <w:left w:val="single" w:color="000000" w:sz="4" w:space="0"/>
              <w:bottom w:val="single" w:color="000000" w:sz="4" w:space="0"/>
              <w:right w:val="nil"/>
            </w:tcBorders>
            <w:shd w:val="clear" w:color="auto" w:fill="auto"/>
            <w:noWrap/>
            <w:vAlign w:val="center"/>
          </w:tcPr>
          <w:p w14:paraId="641204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A8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院长办公室</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C3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B4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5F976">
            <w:pPr>
              <w:jc w:val="center"/>
              <w:rPr>
                <w:rFonts w:hint="eastAsia" w:ascii="宋体" w:hAnsi="宋体" w:eastAsia="宋体" w:cs="宋体"/>
                <w:i w:val="0"/>
                <w:iCs w:val="0"/>
                <w:color w:val="auto"/>
                <w:sz w:val="22"/>
                <w:szCs w:val="22"/>
                <w:highlight w:val="none"/>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97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5867">
            <w:pPr>
              <w:jc w:val="center"/>
              <w:rPr>
                <w:rFonts w:hint="eastAsia" w:ascii="宋体" w:hAnsi="宋体" w:eastAsia="宋体" w:cs="宋体"/>
                <w:i w:val="0"/>
                <w:iCs w:val="0"/>
                <w:color w:val="auto"/>
                <w:sz w:val="22"/>
                <w:szCs w:val="22"/>
                <w:highlight w:val="none"/>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6C27">
            <w:pPr>
              <w:jc w:val="center"/>
              <w:rPr>
                <w:rFonts w:hint="eastAsia" w:ascii="宋体" w:hAnsi="宋体" w:eastAsia="宋体" w:cs="宋体"/>
                <w:i w:val="0"/>
                <w:iCs w:val="0"/>
                <w:color w:val="auto"/>
                <w:sz w:val="22"/>
                <w:szCs w:val="22"/>
                <w:highlight w:val="none"/>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71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2D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456B">
            <w:pPr>
              <w:jc w:val="center"/>
              <w:rPr>
                <w:rFonts w:hint="eastAsia" w:ascii="宋体" w:hAnsi="宋体" w:eastAsia="宋体" w:cs="宋体"/>
                <w:i w:val="0"/>
                <w:iCs w:val="0"/>
                <w:color w:val="auto"/>
                <w:sz w:val="22"/>
                <w:szCs w:val="22"/>
                <w:highlight w:val="none"/>
                <w:u w:val="none"/>
              </w:rPr>
            </w:pPr>
          </w:p>
        </w:tc>
      </w:tr>
      <w:tr w14:paraId="42A3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1365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304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189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0FBB8">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69F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32</w:t>
            </w:r>
          </w:p>
        </w:tc>
        <w:tc>
          <w:tcPr>
            <w:tcW w:w="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0048">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42</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5D0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2</w:t>
            </w:r>
          </w:p>
        </w:tc>
        <w:tc>
          <w:tcPr>
            <w:tcW w:w="8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55FF">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266</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215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58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7610">
            <w:pPr>
              <w:jc w:val="center"/>
              <w:rPr>
                <w:rFonts w:hint="eastAsia" w:ascii="宋体" w:hAnsi="宋体" w:eastAsia="宋体" w:cs="宋体"/>
                <w:b/>
                <w:bCs/>
                <w:i w:val="0"/>
                <w:iCs w:val="0"/>
                <w:color w:val="auto"/>
                <w:sz w:val="22"/>
                <w:szCs w:val="22"/>
                <w:highlight w:val="none"/>
                <w:u w:val="none"/>
              </w:rPr>
            </w:pPr>
          </w:p>
        </w:tc>
      </w:tr>
    </w:tbl>
    <w:p w14:paraId="305F334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color w:val="auto"/>
          <w:highlight w:val="none"/>
          <w:lang w:val="en-US" w:eastAsia="zh-CN"/>
        </w:rPr>
      </w:pPr>
      <w:r>
        <w:rPr>
          <w:rFonts w:hint="eastAsia" w:eastAsia="宋体"/>
          <w:color w:val="auto"/>
          <w:highlight w:val="none"/>
          <w:lang w:val="en-US" w:eastAsia="zh-CN"/>
        </w:rPr>
        <w:t>原始需求表反映了各科室的真实业务诉求，但也存在三类需要校正的问题：一是部分需求与医院信息化业务系统无直接关联（如保卫科办公设备、门诊部会议室设备）；二是部分设备数量明显超出业务实际需要（如部分科室打印机与电脑</w:t>
      </w:r>
      <w:r>
        <w:rPr>
          <w:rFonts w:hint="eastAsia"/>
          <w:color w:val="auto"/>
          <w:highlight w:val="none"/>
          <w:lang w:val="en-US" w:eastAsia="zh-CN"/>
        </w:rPr>
        <w:t>数量不匹配</w:t>
      </w:r>
      <w:r>
        <w:rPr>
          <w:rFonts w:hint="eastAsia" w:eastAsia="宋体"/>
          <w:color w:val="auto"/>
          <w:highlight w:val="none"/>
          <w:lang w:val="en-US" w:eastAsia="zh-CN"/>
        </w:rPr>
        <w:t>）；三是存在功能重叠（如病案室激光打印机与大型复印机重复）。</w:t>
      </w:r>
    </w:p>
    <w:p w14:paraId="5519F2B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color w:val="auto"/>
          <w:highlight w:val="none"/>
          <w:lang w:val="en-US" w:eastAsia="zh-CN"/>
        </w:rPr>
      </w:pPr>
      <w:r>
        <w:rPr>
          <w:rFonts w:hint="eastAsia" w:eastAsia="宋体"/>
          <w:color w:val="auto"/>
          <w:highlight w:val="none"/>
          <w:lang w:val="en-US" w:eastAsia="zh-CN"/>
        </w:rPr>
        <w:t>终端需求分析遵循“以实际业务岗位为对象、以业务场景为依据、以信息系统使用需求为支撑、以医院确认的需求表为数量基准”的原则。现有设计方案已经明确医院业务系统覆盖临床、医技、管理等多个业务领域，并包含HIS、EMR、LIS、PACS、手术麻醉、电子票据以及智慧管理等系统。</w:t>
      </w:r>
    </w:p>
    <w:p w14:paraId="5BA81C34">
      <w:pPr>
        <w:pStyle w:val="5"/>
        <w:bidi w:val="0"/>
        <w:ind w:left="720" w:leftChars="0" w:hanging="720" w:firstLineChars="0"/>
        <w:rPr>
          <w:rFonts w:hint="eastAsia"/>
          <w:lang w:val="en-US" w:eastAsia="zh-CN"/>
        </w:rPr>
      </w:pPr>
      <w:bookmarkStart w:id="87" w:name="_Toc227525703"/>
      <w:r>
        <w:rPr>
          <w:rFonts w:hint="eastAsia"/>
          <w:lang w:val="en-US" w:eastAsia="zh-CN"/>
        </w:rPr>
        <w:t>临床业务终端需求</w:t>
      </w:r>
      <w:bookmarkEnd w:id="87"/>
    </w:p>
    <w:p w14:paraId="700EACF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临床区域是医院信息系统使用最频繁的场景，医生工作站、护士工作站及科室管理岗位需要持续访问HIS、EMR、医嘱、患者信息、检查结果、检验结果及相关医疗质量应用。终端配置应重点满足连续使用、稳定运行、快速登录、外设兼容和网络接入等要求。病区、门诊及专科业务点位按照实际岗位数量进行配置，</w:t>
      </w:r>
      <w:r>
        <w:rPr>
          <w:rFonts w:ascii="Times New Roman" w:hAnsi="Times New Roman" w:eastAsia="宋体" w:cs="Times New Roman"/>
          <w:color w:val="auto"/>
          <w:sz w:val="24"/>
          <w:szCs w:val="24"/>
          <w:highlight w:val="none"/>
        </w:rPr>
        <w:t>予以保留；打印设备按点位共享原则核定数量</w:t>
      </w:r>
      <w:r>
        <w:rPr>
          <w:rFonts w:hint="eastAsia"/>
          <w:color w:val="auto"/>
          <w:highlight w:val="none"/>
          <w:lang w:val="en-US" w:eastAsia="zh-CN"/>
        </w:rPr>
        <w:t>。</w:t>
      </w:r>
    </w:p>
    <w:p w14:paraId="77157260">
      <w:pPr>
        <w:pStyle w:val="5"/>
        <w:bidi w:val="0"/>
        <w:ind w:left="720" w:leftChars="0" w:hanging="720" w:firstLineChars="0"/>
        <w:rPr>
          <w:rFonts w:hint="eastAsia"/>
          <w:lang w:val="en-US" w:eastAsia="zh-CN"/>
        </w:rPr>
      </w:pPr>
      <w:bookmarkStart w:id="88" w:name="_Toc1503598661"/>
      <w:r>
        <w:rPr>
          <w:rFonts w:hint="eastAsia"/>
          <w:lang w:val="en-US" w:eastAsia="zh-CN"/>
        </w:rPr>
        <w:t>医技业务终端需求</w:t>
      </w:r>
      <w:bookmarkEnd w:id="88"/>
    </w:p>
    <w:p w14:paraId="3F3590BD">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eastAsia="宋体"/>
          <w:color w:val="auto"/>
          <w:highlight w:val="none"/>
          <w:lang w:val="en-US" w:eastAsia="zh-CN"/>
        </w:rPr>
      </w:pPr>
      <w:r>
        <w:rPr>
          <w:rFonts w:hint="eastAsia"/>
          <w:color w:val="auto"/>
          <w:highlight w:val="none"/>
          <w:lang w:val="en-US" w:eastAsia="zh-CN"/>
        </w:rPr>
        <w:t>检验、放射、病理、心电及手术麻醉等医技业务具有较明显的专业化特征，</w:t>
      </w:r>
      <w:r>
        <w:rPr>
          <w:rFonts w:ascii="Times New Roman" w:hAnsi="Times New Roman" w:eastAsia="宋体" w:cs="Times New Roman"/>
          <w:color w:val="auto"/>
          <w:sz w:val="24"/>
          <w:szCs w:val="24"/>
          <w:highlight w:val="none"/>
        </w:rPr>
        <w:t>检验科需要与检验设备联机的数据工作站和标本条码打印设备；放射科需要接入PACS的阅片工作站；手术麻醉业务需要每间手术间配置麻醉医生工作站和护理工作站。上述专业化需求均与信息化业务系统直接相关，予以保留</w:t>
      </w:r>
      <w:r>
        <w:rPr>
          <w:rFonts w:hint="eastAsia" w:ascii="Times New Roman" w:hAnsi="Times New Roman" w:eastAsia="宋体" w:cs="Times New Roman"/>
          <w:color w:val="auto"/>
          <w:sz w:val="24"/>
          <w:szCs w:val="24"/>
          <w:highlight w:val="none"/>
          <w:lang w:eastAsia="zh-CN"/>
        </w:rPr>
        <w:t>。</w:t>
      </w:r>
    </w:p>
    <w:p w14:paraId="003496FA">
      <w:pPr>
        <w:pStyle w:val="5"/>
        <w:bidi w:val="0"/>
        <w:ind w:left="720" w:leftChars="0" w:hanging="720" w:firstLineChars="0"/>
        <w:rPr>
          <w:rFonts w:hint="eastAsia"/>
          <w:lang w:val="en-US" w:eastAsia="zh-CN"/>
        </w:rPr>
      </w:pPr>
      <w:bookmarkStart w:id="89" w:name="_Toc1542621178"/>
      <w:r>
        <w:rPr>
          <w:rFonts w:hint="eastAsia"/>
          <w:lang w:val="en-US" w:eastAsia="zh-CN"/>
        </w:rPr>
        <w:t>窗口及综合管理业务终端需求</w:t>
      </w:r>
      <w:bookmarkEnd w:id="89"/>
    </w:p>
    <w:p w14:paraId="33D795C0">
      <w:pPr>
        <w:spacing w:after="100" w:line="324" w:lineRule="auto"/>
        <w:ind w:firstLine="480" w:firstLineChars="200"/>
        <w:rPr>
          <w:color w:val="auto"/>
          <w:highlight w:val="none"/>
        </w:rPr>
      </w:pPr>
      <w:r>
        <w:rPr>
          <w:color w:val="auto"/>
          <w:highlight w:val="none"/>
        </w:rPr>
        <w:t>收费处、出入院办理处、病案室及药房直接承担患者业务办理、病案资料输出、药事业务处理等工作。其计算终端、票据打印等设备与HIS、病案管理和电子票据业务存在较强关联，应优先保障开业使用；</w:t>
      </w:r>
      <w:r>
        <w:rPr>
          <w:rFonts w:ascii="Times New Roman" w:hAnsi="Times New Roman" w:eastAsia="宋体" w:cs="Times New Roman"/>
          <w:color w:val="auto"/>
          <w:sz w:val="24"/>
          <w:szCs w:val="24"/>
          <w:highlight w:val="none"/>
        </w:rPr>
        <w:t>与信息化业务无直接关联的外网终端和行政会议保障设备予以删除</w:t>
      </w:r>
      <w:r>
        <w:rPr>
          <w:color w:val="auto"/>
          <w:highlight w:val="none"/>
        </w:rPr>
        <w:t>。</w:t>
      </w:r>
    </w:p>
    <w:p w14:paraId="4E0D4855">
      <w:pPr>
        <w:pStyle w:val="5"/>
        <w:bidi w:val="0"/>
        <w:ind w:left="720" w:leftChars="0" w:hanging="720" w:firstLineChars="0"/>
        <w:rPr>
          <w:rFonts w:hint="eastAsia"/>
          <w:lang w:val="en-US" w:eastAsia="zh-CN"/>
        </w:rPr>
      </w:pPr>
      <w:bookmarkStart w:id="90" w:name="_Toc264068415"/>
      <w:r>
        <w:rPr>
          <w:rFonts w:hint="eastAsia"/>
          <w:lang w:val="en-US" w:eastAsia="zh-CN"/>
        </w:rPr>
        <w:t>管理及外网业务终端需求</w:t>
      </w:r>
      <w:bookmarkEnd w:id="90"/>
    </w:p>
    <w:p w14:paraId="7CD7ECCF">
      <w:pPr>
        <w:spacing w:after="100" w:line="324" w:lineRule="auto"/>
        <w:ind w:firstLine="480" w:firstLineChars="200"/>
        <w:rPr>
          <w:color w:val="auto"/>
          <w:highlight w:val="none"/>
        </w:rPr>
      </w:pPr>
      <w:r>
        <w:rPr>
          <w:color w:val="auto"/>
          <w:highlight w:val="none"/>
        </w:rPr>
        <w:t>信息科、保卫科、会议室、一般办公室等场景存在较明显的通用办公属性；主任、护长办公室同时具有业务管理属性和通用办公属性；公共卫生科的外网终端则可能用于公卫直报或区域平台。对此类设备不采用“一刀切”处理，而采取自筹或条件纳入。</w:t>
      </w:r>
    </w:p>
    <w:p w14:paraId="6FE6A346">
      <w:pPr>
        <w:pStyle w:val="3"/>
        <w:bidi w:val="0"/>
        <w:ind w:left="575" w:leftChars="0" w:hanging="575" w:firstLineChars="0"/>
        <w:rPr>
          <w:rFonts w:hint="eastAsia"/>
          <w:lang w:val="en-US" w:eastAsia="zh-CN"/>
        </w:rPr>
      </w:pPr>
      <w:bookmarkStart w:id="91" w:name="_Toc1496636203"/>
      <w:r>
        <w:rPr>
          <w:rFonts w:hint="eastAsia"/>
          <w:lang w:val="en-US" w:eastAsia="zh-CN"/>
        </w:rPr>
        <w:t>专项债资金使用边界分析</w:t>
      </w:r>
      <w:bookmarkEnd w:id="91"/>
    </w:p>
    <w:p w14:paraId="6B9A340B">
      <w:pPr>
        <w:spacing w:after="100" w:line="324" w:lineRule="auto"/>
        <w:ind w:firstLine="480" w:firstLineChars="200"/>
        <w:rPr>
          <w:rFonts w:hint="eastAsia" w:eastAsia="宋体"/>
          <w:color w:val="auto"/>
          <w:highlight w:val="none"/>
        </w:rPr>
      </w:pPr>
      <w:r>
        <w:rPr>
          <w:rFonts w:hint="eastAsia" w:eastAsia="宋体"/>
          <w:color w:val="auto"/>
          <w:highlight w:val="none"/>
          <w:lang w:eastAsia="zh-CN"/>
        </w:rPr>
        <w:t>《</w:t>
      </w:r>
      <w:r>
        <w:rPr>
          <w:rFonts w:hint="eastAsia" w:eastAsia="宋体"/>
          <w:color w:val="auto"/>
          <w:highlight w:val="none"/>
        </w:rPr>
        <w:t>国务院办公厅</w:t>
      </w:r>
      <w:r>
        <w:rPr>
          <w:rFonts w:hint="eastAsia" w:eastAsia="宋体"/>
          <w:color w:val="auto"/>
          <w:highlight w:val="none"/>
          <w:lang w:val="en-US" w:eastAsia="zh-CN"/>
        </w:rPr>
        <w:t>关于优化完善地方政府专项债券管理机制的意见》（</w:t>
      </w:r>
      <w:r>
        <w:rPr>
          <w:rFonts w:hint="eastAsia" w:eastAsia="宋体"/>
          <w:color w:val="auto"/>
          <w:highlight w:val="none"/>
        </w:rPr>
        <w:t>国办发〔2024〕52号</w:t>
      </w:r>
      <w:r>
        <w:rPr>
          <w:rFonts w:hint="eastAsia" w:eastAsia="宋体"/>
          <w:color w:val="auto"/>
          <w:highlight w:val="none"/>
          <w:lang w:eastAsia="zh-CN"/>
        </w:rPr>
        <w:t>）</w:t>
      </w:r>
      <w:r>
        <w:rPr>
          <w:rFonts w:eastAsia="宋体"/>
          <w:color w:val="auto"/>
          <w:highlight w:val="none"/>
        </w:rPr>
        <w:t>规定专项债券资金的使用须满足以下要求：一是必须用于有一定收益的公益性项目的资本性支出，依法不得用于经常性支出，严禁用于发放工资、养老金及支付单位运行经费、债务利息等；二是实行投向领域"负面清单"管理，严禁用于楼堂馆所、形象工程和政绩工程等禁止类项目；三是必须专款专用，严格对应批复项目的建设内容，设备购置须与项目直接相关并形成固定资产；四是不得超标准、超范围配置，当年安排当年使用，并接受绩效管理和监督检查。</w:t>
      </w:r>
      <w:r>
        <w:rPr>
          <w:rFonts w:hint="eastAsia" w:eastAsia="宋体"/>
          <w:color w:val="auto"/>
          <w:highlight w:val="none"/>
        </w:rPr>
        <w:t>卫生健康、信息技术等属于支持范围，因此本项目终端设备的判断重点应落在“是否直接属于项目建设投资、是否形成项目相关设备资产、是否属于日常运行配置”上，而不能仅依据设备名称判断。</w:t>
      </w:r>
    </w:p>
    <w:p w14:paraId="7575A1EF">
      <w:pPr>
        <w:spacing w:after="100" w:line="324" w:lineRule="auto"/>
        <w:ind w:firstLine="480" w:firstLineChars="200"/>
        <w:rPr>
          <w:rFonts w:hint="eastAsia" w:eastAsia="宋体"/>
          <w:color w:val="auto"/>
          <w:highlight w:val="none"/>
        </w:rPr>
      </w:pPr>
      <w:r>
        <w:rPr>
          <w:rFonts w:hint="eastAsia" w:eastAsia="宋体"/>
          <w:color w:val="auto"/>
          <w:highlight w:val="none"/>
        </w:rPr>
        <w:t>《地方政府专项债券相关业务会计处理暂行规定》</w:t>
      </w:r>
      <w:r>
        <w:rPr>
          <w:rFonts w:hint="eastAsia" w:eastAsia="宋体"/>
          <w:color w:val="auto"/>
          <w:highlight w:val="none"/>
          <w:lang w:eastAsia="zh-CN"/>
        </w:rPr>
        <w:t>（</w:t>
      </w:r>
      <w:r>
        <w:rPr>
          <w:rFonts w:hint="eastAsia" w:eastAsia="宋体"/>
          <w:color w:val="auto"/>
          <w:highlight w:val="none"/>
        </w:rPr>
        <w:t>财政部财会〔2025〕17号</w:t>
      </w:r>
      <w:r>
        <w:rPr>
          <w:rFonts w:hint="eastAsia" w:eastAsia="宋体"/>
          <w:color w:val="auto"/>
          <w:highlight w:val="none"/>
          <w:lang w:eastAsia="zh-CN"/>
        </w:rPr>
        <w:t>），</w:t>
      </w:r>
      <w:r>
        <w:rPr>
          <w:rFonts w:hint="eastAsia" w:eastAsia="宋体"/>
          <w:color w:val="auto"/>
          <w:highlight w:val="none"/>
        </w:rPr>
        <w:t>自2026年1月1日起施行</w:t>
      </w:r>
      <w:r>
        <w:rPr>
          <w:rFonts w:hint="eastAsia" w:eastAsia="宋体"/>
          <w:color w:val="auto"/>
          <w:highlight w:val="none"/>
          <w:lang w:val="en-US" w:eastAsia="zh-CN"/>
        </w:rPr>
        <w:t>，其中</w:t>
      </w:r>
      <w:r>
        <w:rPr>
          <w:rFonts w:hint="eastAsia" w:eastAsia="宋体"/>
          <w:color w:val="auto"/>
          <w:highlight w:val="none"/>
        </w:rPr>
        <w:t>专项债项目投资表明确区分设备投资，并要求清晰反映专项债项目形成资产的资金构成。由此，本方案将设备设计、采购、实施、验收及资产移交作为一条完整链条考虑。</w:t>
      </w:r>
    </w:p>
    <w:p w14:paraId="66E7E58F">
      <w:pPr>
        <w:spacing w:after="100" w:line="324" w:lineRule="auto"/>
        <w:ind w:firstLine="480" w:firstLineChars="200"/>
        <w:rPr>
          <w:rFonts w:eastAsia="宋体"/>
          <w:color w:val="auto"/>
          <w:highlight w:val="none"/>
        </w:rPr>
      </w:pPr>
      <w:r>
        <w:rPr>
          <w:rFonts w:hint="eastAsia" w:eastAsia="宋体"/>
          <w:color w:val="auto"/>
          <w:highlight w:val="none"/>
        </w:rPr>
        <w:t>《事业单位财务规则》</w:t>
      </w:r>
      <w:r>
        <w:rPr>
          <w:rFonts w:eastAsia="宋体"/>
          <w:color w:val="auto"/>
          <w:highlight w:val="none"/>
        </w:rPr>
        <w:t>（财政部令第108号）</w:t>
      </w:r>
      <w:r>
        <w:rPr>
          <w:rFonts w:hint="eastAsia" w:eastAsia="宋体"/>
          <w:color w:val="auto"/>
          <w:highlight w:val="none"/>
        </w:rPr>
        <w:t>规定，资产配置应根据依法履职和事业发展需要，结合资产存量、配置标准、绩效目标和财政承受能力配置，并对固定资产作出使用年限和价值标准规定；低于单位价值标准但使用年限超过一年的大批同类物资，也可按规定作为固定资产管理。</w:t>
      </w:r>
    </w:p>
    <w:p w14:paraId="2909D259">
      <w:pPr>
        <w:spacing w:after="160" w:line="300" w:lineRule="auto"/>
        <w:ind w:firstLine="475"/>
        <w:rPr>
          <w:color w:val="auto"/>
          <w:highlight w:val="none"/>
        </w:rPr>
      </w:pPr>
      <w:r>
        <w:rPr>
          <w:rFonts w:ascii="Times New Roman" w:hAnsi="Times New Roman" w:eastAsia="宋体" w:cs="Times New Roman"/>
          <w:color w:val="auto"/>
          <w:sz w:val="24"/>
          <w:szCs w:val="24"/>
          <w:highlight w:val="none"/>
        </w:rPr>
        <w:t>对照上述要求，本项目终端设备中，直接支撑医院信息化业务系统运行、形成固定资产的设备购置，属于信息网络相关资本性支出，可以纳入专项债资金使用范围；与信息化业务系统无直接关联的一般行政办公设备、后勤安保设备，以及超出业务实际需要的超标准、重复配置，不得使用专项债资金。</w:t>
      </w:r>
    </w:p>
    <w:p w14:paraId="07A54490">
      <w:pPr>
        <w:pStyle w:val="3"/>
        <w:bidi w:val="0"/>
        <w:ind w:left="575" w:leftChars="0" w:hanging="575" w:firstLineChars="0"/>
        <w:rPr>
          <w:rFonts w:hint="eastAsia"/>
          <w:lang w:val="en-US" w:eastAsia="zh-CN"/>
        </w:rPr>
      </w:pPr>
      <w:bookmarkStart w:id="92" w:name="_Toc488706510"/>
      <w:r>
        <w:rPr>
          <w:rFonts w:hint="eastAsia"/>
          <w:lang w:val="en-US" w:eastAsia="zh-CN"/>
        </w:rPr>
        <w:t>终端设备总体配置原则</w:t>
      </w:r>
      <w:bookmarkEnd w:id="92"/>
    </w:p>
    <w:p w14:paraId="16FDDB9E">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需求驱动原则：以医院确认的终端需求表作为需求来源，</w:t>
      </w:r>
      <w:r>
        <w:rPr>
          <w:color w:val="auto"/>
          <w:highlight w:val="none"/>
        </w:rPr>
        <w:t>以科室/岗位/点位为最终核定单位</w:t>
      </w:r>
      <w:r>
        <w:rPr>
          <w:rFonts w:hint="eastAsia"/>
          <w:color w:val="auto"/>
          <w:highlight w:val="none"/>
          <w:lang w:val="en-US" w:eastAsia="zh-CN"/>
        </w:rPr>
        <w:t>。</w:t>
      </w:r>
    </w:p>
    <w:p w14:paraId="7ECB56C9">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开业优先原则：</w:t>
      </w:r>
      <w:r>
        <w:rPr>
          <w:color w:val="auto"/>
          <w:highlight w:val="none"/>
        </w:rPr>
        <w:t>先保障临床、医技、收费、病案、药房、手术等开业核心业务</w:t>
      </w:r>
      <w:r>
        <w:rPr>
          <w:rFonts w:hint="eastAsia"/>
          <w:color w:val="auto"/>
          <w:highlight w:val="none"/>
          <w:lang w:eastAsia="zh-CN"/>
        </w:rPr>
        <w:t>。</w:t>
      </w:r>
    </w:p>
    <w:p w14:paraId="074AFEF7">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业务适配原则：根据临床、医技、窗口和管理业务的差异，采用计算、打印、条码、票据等分类配置方式。</w:t>
      </w:r>
    </w:p>
    <w:p w14:paraId="5F8E1870">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系统协同原则：终端配置应与HIS、EMR、LIS、PACS、手术麻醉、电子票据及管理系统的客户端使用需求相匹配。</w:t>
      </w:r>
    </w:p>
    <w:p w14:paraId="139FF116">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网络分区原则：严格遵循医院内外网边界及整体网络安全架构，内网业务终端与外网终端分类配置、分类接入，</w:t>
      </w:r>
      <w:r>
        <w:rPr>
          <w:color w:val="auto"/>
          <w:highlight w:val="none"/>
        </w:rPr>
        <w:t>不允许未经授权的跨网混用。</w:t>
      </w:r>
    </w:p>
    <w:p w14:paraId="62E73463">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专业场景适配原则：对检验条码、影像阅片、票据打印等专业场景配置相匹配的设备能力。</w:t>
      </w:r>
    </w:p>
    <w:p w14:paraId="3E1033A5">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经济适用原则：满足业务功能和性能需求的基础上，避免过度配置，优先采用成熟、标准化、易维护的产品形态。</w:t>
      </w:r>
    </w:p>
    <w:p w14:paraId="6F87D9A5">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rPr>
        <w:t>信创优先原则：终端设备应优先选用符合国家及省级信创产品目录的国产化设备，核心部件（CPU、操作系统、办公软件）应全部符合国产化要求。</w:t>
      </w:r>
    </w:p>
    <w:p w14:paraId="0EB0426C">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不设置额外备用原则：本项目终端设备数量不在确认需求之外增加备用、库存或冗余配置；设备发生故障或后续新增岗位时，由医院按照资产管理和采购管理程序另行保障。</w:t>
      </w:r>
    </w:p>
    <w:p w14:paraId="2AD5184B">
      <w:pPr>
        <w:keepNext w:val="0"/>
        <w:keepLines w:val="0"/>
        <w:pageBreakBefore w:val="0"/>
        <w:widowControl/>
        <w:numPr>
          <w:ilvl w:val="0"/>
          <w:numId w:val="9"/>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政府采购与集中采购衔接原则：本项目终端设备属于信息化建设中的通用及配套硬件资源，采购方式应与项目整体政府采购管理要求衔接。设计阶段的核心职责是把“需要买什么、为什么买、买多少、应达到什么基本能力”定义清楚，而不是预先锁定某一具体品牌或型号。采购实施阶段，再结合集中采购目录、采购方式、采购文件和评审结果确定实际采购产品。</w:t>
      </w:r>
    </w:p>
    <w:p w14:paraId="42D9F370">
      <w:pPr>
        <w:pStyle w:val="3"/>
        <w:bidi w:val="0"/>
        <w:ind w:left="575" w:leftChars="0" w:hanging="575" w:firstLineChars="0"/>
        <w:rPr>
          <w:rFonts w:hint="eastAsia"/>
          <w:lang w:val="en-US" w:eastAsia="zh-CN"/>
        </w:rPr>
      </w:pPr>
      <w:bookmarkStart w:id="93" w:name="_Toc1712847442"/>
      <w:r>
        <w:rPr>
          <w:rFonts w:hint="eastAsia"/>
          <w:lang w:val="en-US" w:eastAsia="zh-CN"/>
        </w:rPr>
        <w:t>终端设备总体配置方案</w:t>
      </w:r>
      <w:bookmarkEnd w:id="93"/>
    </w:p>
    <w:p w14:paraId="70CDBA7A">
      <w:pPr>
        <w:spacing w:after="160" w:line="300" w:lineRule="auto"/>
        <w:ind w:firstLine="475"/>
        <w:rPr>
          <w:rFonts w:ascii="Times New Roman" w:hAnsi="Times New Roman" w:eastAsia="宋体" w:cs="Times New Roman"/>
          <w:color w:val="auto"/>
          <w:sz w:val="24"/>
          <w:szCs w:val="24"/>
          <w:highlight w:val="none"/>
        </w:rPr>
      </w:pPr>
      <w:r>
        <w:rPr>
          <w:rFonts w:hint="eastAsia"/>
          <w:color w:val="auto"/>
          <w:highlight w:val="none"/>
          <w:lang w:val="en-US" w:eastAsia="zh-CN"/>
        </w:rPr>
        <w:t>本项目计算终端原则上按照业务岗位和点位部署，打印及其他输出设备根据业务量采用点位配置与共享配置相结合的方式。临床及医技高频打印场景以就近使用为主；条码、票据、热敏等专业设备应与对应业务系统工作点位紧密结合。根据用户的实际需求并按照</w:t>
      </w:r>
      <w:r>
        <w:rPr>
          <w:rFonts w:ascii="Times New Roman" w:hAnsi="Times New Roman" w:eastAsia="宋体" w:cs="Times New Roman"/>
          <w:color w:val="auto"/>
          <w:sz w:val="24"/>
          <w:szCs w:val="24"/>
          <w:highlight w:val="none"/>
        </w:rPr>
        <w:t>专项债合规审定后的需求清单，终端设备详细配备如下（数量单位：台）：</w:t>
      </w:r>
    </w:p>
    <w:tbl>
      <w:tblPr>
        <w:tblStyle w:val="15"/>
        <w:tblW w:w="8235"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9"/>
        <w:gridCol w:w="732"/>
        <w:gridCol w:w="849"/>
        <w:gridCol w:w="583"/>
        <w:gridCol w:w="565"/>
        <w:gridCol w:w="549"/>
        <w:gridCol w:w="565"/>
        <w:gridCol w:w="549"/>
        <w:gridCol w:w="531"/>
        <w:gridCol w:w="550"/>
        <w:gridCol w:w="566"/>
        <w:gridCol w:w="599"/>
        <w:gridCol w:w="1148"/>
      </w:tblGrid>
      <w:tr w14:paraId="0760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blHeader/>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64C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955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需求科室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70F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使用区域</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(门诊/住院)</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411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激光打印机</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D54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针式打印机</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FA8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彩色打印机</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7AF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条码打印机</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EFB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热敏打印机</w:t>
            </w: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D51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大型复印机</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74E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内网电脑</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C71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外网电脑</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5C2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审核结论</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A6D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审核理由</w:t>
            </w:r>
          </w:p>
        </w:tc>
      </w:tr>
      <w:tr w14:paraId="7087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57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03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信息科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CF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35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596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CEC5">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64EB">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50D4">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6DDB">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10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FB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06A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4C61">
            <w:pPr>
              <w:keepNext w:val="0"/>
              <w:keepLines w:val="0"/>
              <w:widowControl/>
              <w:suppressLineNumbers w:val="0"/>
              <w:jc w:val="left"/>
              <w:textAlignment w:val="center"/>
              <w:rPr>
                <w:rFonts w:ascii="Carlito" w:hAnsi="Carlito" w:eastAsia="Carlito" w:cs="Carlito"/>
                <w:i w:val="0"/>
                <w:iCs w:val="0"/>
                <w:color w:val="auto"/>
                <w:sz w:val="22"/>
                <w:szCs w:val="22"/>
                <w:highlight w:val="none"/>
                <w:u w:val="none"/>
              </w:rPr>
            </w:pPr>
            <w:r>
              <w:rPr>
                <w:rFonts w:hint="default" w:ascii="宋体" w:hAnsi="宋体" w:eastAsia="宋体" w:cs="宋体"/>
                <w:i w:val="0"/>
                <w:iCs w:val="0"/>
                <w:color w:val="auto"/>
                <w:kern w:val="0"/>
                <w:sz w:val="22"/>
                <w:szCs w:val="22"/>
                <w:highlight w:val="none"/>
                <w:u w:val="none"/>
                <w:lang w:val="en-US" w:eastAsia="zh-CN" w:bidi="ar"/>
              </w:rPr>
              <w:t>信息技术运维通用工作终端不作为本项目专项债建设终端；普通互联网办公属性较强，不建议使用专项债，故不纳入本项目建设。</w:t>
            </w:r>
          </w:p>
        </w:tc>
      </w:tr>
      <w:tr w14:paraId="3DA1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5E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B0A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保卫科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3A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1C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D89E">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911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675E">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8E6C">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0EDF">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D0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F4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33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ADC2">
            <w:pPr>
              <w:keepNext w:val="0"/>
              <w:keepLines w:val="0"/>
              <w:widowControl/>
              <w:suppressLineNumbers w:val="0"/>
              <w:jc w:val="left"/>
              <w:textAlignment w:val="center"/>
              <w:rPr>
                <w:rFonts w:hint="default" w:ascii="Carlito" w:hAnsi="Carlito" w:eastAsia="Carlito" w:cs="Carlito"/>
                <w:i w:val="0"/>
                <w:iCs w:val="0"/>
                <w:color w:val="auto"/>
                <w:sz w:val="22"/>
                <w:szCs w:val="22"/>
                <w:highlight w:val="none"/>
                <w:u w:val="none"/>
              </w:rPr>
            </w:pPr>
            <w:r>
              <w:rPr>
                <w:rFonts w:hint="default" w:ascii="宋体" w:hAnsi="宋体" w:eastAsia="宋体" w:cs="宋体"/>
                <w:i w:val="0"/>
                <w:iCs w:val="0"/>
                <w:color w:val="auto"/>
                <w:kern w:val="0"/>
                <w:sz w:val="22"/>
                <w:szCs w:val="22"/>
                <w:highlight w:val="none"/>
                <w:u w:val="none"/>
                <w:lang w:val="en-US" w:eastAsia="zh-CN" w:bidi="ar"/>
              </w:rPr>
              <w:t>保卫科属后勤安保行政岗位，与医院信息化业务系统无直接关联，不属于本项目建设内容；专项债资金不得用于与项目无关的一般行政办公设备，应由医院自筹资金解决。</w:t>
            </w:r>
          </w:p>
        </w:tc>
      </w:tr>
      <w:tr w14:paraId="7F064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7B9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760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综合内科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12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0B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78E1">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88D9">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F5EF">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47A2">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B097">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46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FF4C">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4C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831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53EBD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4483">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88B3A">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69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EB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19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0469">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F420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2E26">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393D">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CC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CF64">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06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4E8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2C63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E22CA">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DBEA">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A3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C7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9A1BD">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E432">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D456">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61DD">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88B9">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C1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08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5A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27A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业务管理岗位虽需使用HIS/EMR等系统，但兼具通用办公属性，暂不纳入建设范围；普通互联网办公属性较强，不建议使用专项债；管理办公室打印机通用属性较强，建议医院自筹解决。</w:t>
            </w:r>
          </w:p>
        </w:tc>
      </w:tr>
      <w:tr w14:paraId="15CCD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668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552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综合外科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C5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7A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C821">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1FD2">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EF63">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15E2">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EF7E">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F5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302B">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AE0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380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1AA7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E065C">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62ADC">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6A7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80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F1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2D38">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E7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FA93">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785F">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8AC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CC9D">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36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F8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2462E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EB505">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7C3AE">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9E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82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D6E1">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EF66">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B1EB">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EE69">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5A0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75F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7C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BE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4A2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业务管理岗位虽需使用HIS/EMR等系统，但兼具通用办公属性，暂不纳入建设范围；普通互联网办公属性较强，不建议使用专项债；管理办公室打印机通用属性较强，建议医院自筹解决。</w:t>
            </w:r>
          </w:p>
        </w:tc>
      </w:tr>
      <w:tr w14:paraId="216A9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DC3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D78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康复科（医养）</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（两层楼）</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3C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16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ADB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B0F45">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49C0">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CE8B">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62EF">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E68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F9C2">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C3C">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846D">
            <w:pPr>
              <w:keepNext w:val="0"/>
              <w:keepLines w:val="0"/>
              <w:widowControl/>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激光打印机核减2台，保留与电脑匹配的数量来支撑医院项目业务开展。</w:t>
            </w:r>
          </w:p>
        </w:tc>
      </w:tr>
      <w:tr w14:paraId="04539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63820">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1DC62">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C1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8C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5E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E1D9">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BF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5822">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18AE">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72E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26D8">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6F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D4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7A1A1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B59FA">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3DDF">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E8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AF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5C8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BE45">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7D29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C527">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8450">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39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3F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DF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46C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业务管理岗位虽需使用HIS/EMR等系统，但兼具通用办公属性，暂不纳入建设范围；普通互联网办公属性较强，不建议使用专项债；管理办公室打印机通用属性较强，建议医院自筹解决。</w:t>
            </w:r>
          </w:p>
        </w:tc>
      </w:tr>
      <w:tr w14:paraId="0840F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66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34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放射科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0B4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住院一楼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58B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3E3A">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F0F3">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63C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B2D5">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4E7D">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CF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777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67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65A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外网电脑核减1台，保留1个点位用于影像设备远程维护、远程会诊对接等。</w:t>
            </w:r>
          </w:p>
        </w:tc>
      </w:tr>
      <w:tr w14:paraId="54E0D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80D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7EE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检验科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2FE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94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6704">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2A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42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F99E">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660D">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F1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24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86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015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专业业务存在彩色输出需求，彩色打印机数量须以实际业务流程及点位确认；外网电脑核减3台，保留1个点位用于检验设备远程质控与厂商维护。</w:t>
            </w:r>
          </w:p>
        </w:tc>
      </w:tr>
      <w:tr w14:paraId="4D3BC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0D824">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938FD">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C3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门诊1楼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05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A17B">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D0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5E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0351">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CC08">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78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5103">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0E3D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930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0E3E6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C8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66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供应室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87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住院一楼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4F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7182">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78CA">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ED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B4AF">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AD47">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9F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E49F">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C1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3E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3EB2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400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A2C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收费处</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A7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住院楼一楼</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出入院办理处</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E05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3C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38B7">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363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D6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EEFE">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28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08EB">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624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3873B">
            <w:pPr>
              <w:keepNext w:val="0"/>
              <w:keepLines w:val="0"/>
              <w:widowControl/>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考虑设备共享原则，激光打印机核减1台；尚未明确出入院办理处存在独立的条码标签打印需求，暂不纳入本项目建设。</w:t>
            </w:r>
          </w:p>
        </w:tc>
      </w:tr>
      <w:tr w14:paraId="5971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7F031">
            <w:pPr>
              <w:jc w:val="center"/>
              <w:rPr>
                <w:rFonts w:hint="eastAsia" w:ascii="宋体" w:hAnsi="宋体" w:eastAsia="宋体" w:cs="宋体"/>
                <w:i w:val="0"/>
                <w:iCs w:val="0"/>
                <w:color w:val="auto"/>
                <w:sz w:val="22"/>
                <w:szCs w:val="22"/>
                <w:highlight w:val="none"/>
                <w:u w:val="none"/>
              </w:rPr>
            </w:pP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12237">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DA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门诊楼一楼收费处</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D7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ADE2">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6479">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C8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2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B000">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52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64A">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98D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5372">
            <w:pPr>
              <w:keepNext w:val="0"/>
              <w:keepLines w:val="0"/>
              <w:widowControl/>
              <w:suppressLineNumbers w:val="0"/>
              <w:jc w:val="left"/>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考虑设备共享原则，激光打印机核减2台；尚未明确收费窗口存在独立的条码标签打印需求，暂不纳入本项目建设。</w:t>
            </w:r>
          </w:p>
        </w:tc>
      </w:tr>
      <w:tr w14:paraId="5A284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5C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7A9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妇科门诊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90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787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E3EC">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E111">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AFB8">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8961">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CA8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60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CD10">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9F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9F1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306AA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946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52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产科门诊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17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C6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290D">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FE4D">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C4A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9753">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B617">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57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6C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E0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4F2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5242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53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338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人流室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C5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17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C3C8">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7E78">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D282">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03C3F">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0865">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56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723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95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202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7FCDC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54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38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3A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AD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BCCE">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F3F0">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5170">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0633">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3E12">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1E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346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A70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17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7FBD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B27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AF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1A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49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AF6F">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2A41">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900B">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1C85">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C2B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F1A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43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FE5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D6A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39CB4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68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E99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外科手术室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F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外科手术室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E5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118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18A9">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A2EC">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A79D">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BA2B">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4D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FABE">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303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B15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直接服务项目业务系统和业务流程，可作为信息化配套设备论证纳入；最终以项目批复及主管部门审核口径为准。</w:t>
            </w:r>
          </w:p>
        </w:tc>
      </w:tr>
      <w:tr w14:paraId="6770E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7E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C7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康复、理疗门诊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B4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康复、理疗门诊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C9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6B58E">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43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6771">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9ED5">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D7FA9">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BF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A0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0F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ECE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20A0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08F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E3C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VIP诊室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63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VIP诊室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0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4C25">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5FA8">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4E86">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0418">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C95A">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0B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E6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4F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CF2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65FFE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B41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E5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口腔科门诊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52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口腔科门诊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AC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F87C">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F4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C776">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D3E5">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AA85">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B63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2C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0A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F0E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5E4D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4A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63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耳鼻喉科门诊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A04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耳鼻喉科门诊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01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66C8">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DB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6B4A">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2FF8">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FBBC">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F7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AA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834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2BC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5763E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3C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D0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皮肤科门诊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928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皮肤科门诊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A8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780B">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D3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F464">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CF12">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3B4F">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CB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C5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3A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CA5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021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D5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ADA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儿科门诊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F7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儿科门诊</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D6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55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A1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8A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41DD">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FE10">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4E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F9B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C1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59D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w:t>
            </w:r>
          </w:p>
        </w:tc>
      </w:tr>
      <w:tr w14:paraId="71B86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47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D37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门诊护士站</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517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门诊护士站</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91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EE71">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9E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F077">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A22E">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A3D2">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DF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40D9">
            <w:pPr>
              <w:jc w:val="center"/>
              <w:rPr>
                <w:rFonts w:hint="eastAsia" w:ascii="宋体" w:hAnsi="宋体" w:eastAsia="宋体" w:cs="宋体"/>
                <w:i w:val="0"/>
                <w:iCs w:val="0"/>
                <w:color w:val="auto"/>
                <w:sz w:val="22"/>
                <w:szCs w:val="22"/>
                <w:highlight w:val="none"/>
                <w:u w:val="none"/>
              </w:rPr>
            </w:pP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EC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AE8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无彩色输出刚性需求，删除彩色打印机需求数量。</w:t>
            </w:r>
          </w:p>
        </w:tc>
      </w:tr>
      <w:tr w14:paraId="5E59F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DC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C82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门诊部主任、</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护长办公室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9F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FFD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C73E">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02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C332">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5EBF">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3808">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56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B7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F9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941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业务管理岗位虽需使用HIS/EMR等系统，但兼具通用办公属性，暂不纳入建设范围；普通互联网办公属性较强，不建议使用专项债；管理办公室打印机通用属性较强，建议医院自筹解决。</w:t>
            </w:r>
          </w:p>
        </w:tc>
      </w:tr>
      <w:tr w14:paraId="12D2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50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64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门诊部会议室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1A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门诊部会议室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8360">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7162">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86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B7B3">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9720">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A842">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4E78">
            <w:pPr>
              <w:jc w:val="center"/>
              <w:rPr>
                <w:rFonts w:hint="eastAsia" w:ascii="宋体" w:hAnsi="宋体" w:eastAsia="宋体" w:cs="宋体"/>
                <w:i w:val="0"/>
                <w:iCs w:val="0"/>
                <w:color w:val="auto"/>
                <w:sz w:val="22"/>
                <w:szCs w:val="22"/>
                <w:highlight w:val="none"/>
                <w:u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B1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7B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44C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会议室场景存在较明显的通用办公属性，不能纳入本项目建设。</w:t>
            </w:r>
          </w:p>
        </w:tc>
      </w:tr>
      <w:tr w14:paraId="0FCA9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BF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B1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公共卫生科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01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（慢病中心、治未病）</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68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1E8D">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80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15A5">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8F23">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3076">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5D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25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F5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15F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公卫科承担慢病管理、传染病报告、居民健康档案等须访问省级公立卫生平台（互联网专线）的业务，保留5个点位，核减5台外网电脑。</w:t>
            </w:r>
          </w:p>
        </w:tc>
      </w:tr>
      <w:tr w14:paraId="025BA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40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8F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病案室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98F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B6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78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188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88F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E950">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A8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B9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D0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8E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0627">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大型复印机主要辅助行政日常办公，不建议纳入本项目建设；病案首页数据上报、医保结算清单上传需外网通道，保留1个点位，核减1台外网电脑。</w:t>
            </w:r>
          </w:p>
        </w:tc>
      </w:tr>
      <w:tr w14:paraId="37D0F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91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53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功能检查科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D7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8DC0">
            <w:pPr>
              <w:jc w:val="center"/>
              <w:rPr>
                <w:rFonts w:hint="eastAsia" w:ascii="宋体" w:hAnsi="宋体" w:eastAsia="宋体" w:cs="宋体"/>
                <w:i w:val="0"/>
                <w:iCs w:val="0"/>
                <w:color w:val="auto"/>
                <w:sz w:val="22"/>
                <w:szCs w:val="22"/>
                <w:highlight w:val="none"/>
                <w:u w:val="none"/>
              </w:rPr>
            </w:pP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7F4A">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C7B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3B1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072C">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33E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C8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1B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F8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75A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无明确互联网业务需求，删除外网电脑需求数量。专业业务可能存在彩色输出需求，须以实际业务流程及点位确认。</w:t>
            </w:r>
          </w:p>
        </w:tc>
      </w:tr>
      <w:tr w14:paraId="077D6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A84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10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病理科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478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住院，2楼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54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805A">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7F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40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E257">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AD1B">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F7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BB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E7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6D0B">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无明确互联网业务需求，删除外网电脑需求数量。专业业务可能存在彩色输出需求，须以实际业务流程及点位确认。</w:t>
            </w:r>
          </w:p>
        </w:tc>
      </w:tr>
      <w:tr w14:paraId="2499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38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CD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急诊科</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4F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门诊1楼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7E4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D2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69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DAC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C544">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F38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C3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CD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0A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4ED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外网电脑保留1个点位用于120急救调度信息对接，核减1台。</w:t>
            </w:r>
          </w:p>
        </w:tc>
      </w:tr>
      <w:tr w14:paraId="6E79E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22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A4A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3楼手术室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22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护士站</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D7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5B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24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BF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0BE4">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3E64">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38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63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A394">
            <w:pPr>
              <w:keepNext w:val="0"/>
              <w:keepLines w:val="0"/>
              <w:widowControl/>
              <w:suppressLineNumbers w:val="0"/>
              <w:jc w:val="center"/>
              <w:textAlignment w:val="center"/>
              <w:rPr>
                <w:rFonts w:hint="default" w:ascii="Carlito" w:hAnsi="Carlito" w:eastAsia="Carlito" w:cs="Carlito"/>
                <w:i w:val="0"/>
                <w:iCs w:val="0"/>
                <w:color w:val="auto"/>
                <w:sz w:val="22"/>
                <w:szCs w:val="22"/>
                <w:highlight w:val="none"/>
                <w:u w:val="none"/>
              </w:rPr>
            </w:pPr>
            <w:r>
              <w:rPr>
                <w:rFonts w:hint="default" w:ascii="宋体" w:hAnsi="宋体" w:eastAsia="宋体" w:cs="宋体"/>
                <w:i w:val="0"/>
                <w:iCs w:val="0"/>
                <w:color w:val="auto"/>
                <w:kern w:val="0"/>
                <w:sz w:val="22"/>
                <w:szCs w:val="22"/>
                <w:highlight w:val="none"/>
                <w:u w:val="none"/>
                <w:lang w:val="en-US" w:eastAsia="zh-CN" w:bidi="ar"/>
              </w:rPr>
              <w:t>部分纳入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032D">
            <w:pPr>
              <w:keepNext w:val="0"/>
              <w:keepLines w:val="0"/>
              <w:widowControl/>
              <w:suppressLineNumbers w:val="0"/>
              <w:jc w:val="left"/>
              <w:textAlignment w:val="center"/>
              <w:rPr>
                <w:rFonts w:hint="default" w:ascii="Carlito" w:hAnsi="Carlito" w:eastAsia="Carlito" w:cs="Carlito"/>
                <w:i w:val="0"/>
                <w:iCs w:val="0"/>
                <w:color w:val="auto"/>
                <w:sz w:val="22"/>
                <w:szCs w:val="22"/>
                <w:highlight w:val="none"/>
                <w:u w:val="none"/>
              </w:rPr>
            </w:pPr>
            <w:r>
              <w:rPr>
                <w:rFonts w:hint="default" w:ascii="宋体" w:hAnsi="宋体" w:eastAsia="宋体" w:cs="宋体"/>
                <w:i w:val="0"/>
                <w:iCs w:val="0"/>
                <w:color w:val="auto"/>
                <w:kern w:val="0"/>
                <w:sz w:val="22"/>
                <w:szCs w:val="22"/>
                <w:highlight w:val="none"/>
                <w:u w:val="none"/>
                <w:lang w:val="en-US" w:eastAsia="zh-CN" w:bidi="ar"/>
              </w:rPr>
              <w:t>激光打印机核减1台，保留与电脑匹配的数量来支撑医院项目业务开展。</w:t>
            </w:r>
          </w:p>
        </w:tc>
      </w:tr>
      <w:tr w14:paraId="2A58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FC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B959E">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7C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手术间10间</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04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CC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A1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16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428C">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7310">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F3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D92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CE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C48D">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39081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EC7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89002">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EE5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复苏室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A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F0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9F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AE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D781">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22B1">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81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18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33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57A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350C9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B6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131A1">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D4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诊室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86B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78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8BE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56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CA0C">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C65C">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0C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4F4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4A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177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1C29C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FA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1D869">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1E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主任护长室</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5F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3FC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980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09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3C5D">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E72C">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87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70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44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D55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业务管理岗位需使用HIS/EMR等系统，但兼具通用办公属性，建议条件纳入；普通互联网办公属性较强，不建议使用专项债；管理办公室打印机通用属性较强，建议医院自筹解决。</w:t>
            </w:r>
          </w:p>
        </w:tc>
      </w:tr>
      <w:tr w14:paraId="4CC2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D2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7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2B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药学部</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B8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中药房</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CDA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78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96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2F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01C0">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12F5">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591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6D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51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F7E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3250F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E3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7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358D6">
            <w:pPr>
              <w:jc w:val="center"/>
              <w:rPr>
                <w:rFonts w:hint="eastAsia" w:ascii="宋体" w:hAnsi="宋体" w:eastAsia="宋体" w:cs="宋体"/>
                <w:i w:val="0"/>
                <w:iCs w:val="0"/>
                <w:color w:val="auto"/>
                <w:sz w:val="22"/>
                <w:szCs w:val="22"/>
                <w:highlight w:val="none"/>
                <w:u w:val="none"/>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27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西药房</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6FA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43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0F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B88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DE7E">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8937">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5F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EB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66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可纳入本项目建设</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1DDE">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直接服务项目业务系统和业务流程，可作为信息化配套设备论证纳入；最终以项目批复、发行信息及主管部门审核口径为准。</w:t>
            </w:r>
          </w:p>
        </w:tc>
      </w:tr>
      <w:tr w14:paraId="313DD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44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55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院长办公室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7A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门诊4楼</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8D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8683">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66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CDE3">
            <w:pPr>
              <w:jc w:val="center"/>
              <w:rPr>
                <w:rFonts w:hint="eastAsia" w:ascii="宋体" w:hAnsi="宋体" w:eastAsia="宋体" w:cs="宋体"/>
                <w:i w:val="0"/>
                <w:iCs w:val="0"/>
                <w:color w:val="auto"/>
                <w:sz w:val="22"/>
                <w:szCs w:val="22"/>
                <w:highlight w:val="none"/>
                <w:u w:val="none"/>
              </w:rPr>
            </w:pP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01C6">
            <w:pPr>
              <w:jc w:val="center"/>
              <w:rPr>
                <w:rFonts w:hint="eastAsia" w:ascii="宋体" w:hAnsi="宋体" w:eastAsia="宋体" w:cs="宋体"/>
                <w:i w:val="0"/>
                <w:iCs w:val="0"/>
                <w:color w:val="auto"/>
                <w:sz w:val="22"/>
                <w:szCs w:val="22"/>
                <w:highlight w:val="none"/>
                <w:u w:val="none"/>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9131">
            <w:pPr>
              <w:jc w:val="center"/>
              <w:rPr>
                <w:rFonts w:hint="eastAsia" w:ascii="宋体" w:hAnsi="宋体" w:eastAsia="宋体" w:cs="宋体"/>
                <w:i w:val="0"/>
                <w:iCs w:val="0"/>
                <w:color w:val="auto"/>
                <w:sz w:val="22"/>
                <w:szCs w:val="22"/>
                <w:highlight w:val="none"/>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EB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AA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0</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12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不纳入</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F83C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一般办公室等场景存在较明显的通用办公属性，不能纳入本项目建设。</w:t>
            </w:r>
          </w:p>
        </w:tc>
      </w:tr>
      <w:tr w14:paraId="3EA15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20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E2CF68">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9A0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168</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27F9">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10</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B31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20</w:t>
            </w:r>
          </w:p>
        </w:tc>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10A1">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34</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BE6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8</w:t>
            </w:r>
          </w:p>
        </w:tc>
        <w:tc>
          <w:tcPr>
            <w:tcW w:w="5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3E32">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0</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B7D5">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247</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E110">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9</w:t>
            </w:r>
          </w:p>
        </w:tc>
        <w:tc>
          <w:tcPr>
            <w:tcW w:w="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60CC">
            <w:pPr>
              <w:jc w:val="center"/>
              <w:rPr>
                <w:rFonts w:hint="eastAsia" w:ascii="宋体" w:hAnsi="宋体" w:eastAsia="宋体" w:cs="宋体"/>
                <w:b/>
                <w:bCs/>
                <w:i w:val="0"/>
                <w:iCs w:val="0"/>
                <w:color w:val="auto"/>
                <w:sz w:val="22"/>
                <w:szCs w:val="22"/>
                <w:highlight w:val="none"/>
                <w:u w:val="none"/>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30F9">
            <w:pPr>
              <w:rPr>
                <w:rFonts w:hint="eastAsia" w:ascii="宋体" w:hAnsi="宋体" w:eastAsia="宋体" w:cs="宋体"/>
                <w:i w:val="0"/>
                <w:iCs w:val="0"/>
                <w:color w:val="auto"/>
                <w:sz w:val="22"/>
                <w:szCs w:val="22"/>
                <w:highlight w:val="none"/>
                <w:u w:val="none"/>
              </w:rPr>
            </w:pPr>
          </w:p>
        </w:tc>
      </w:tr>
    </w:tbl>
    <w:p w14:paraId="246CF468">
      <w:pPr>
        <w:spacing w:after="160" w:line="300" w:lineRule="auto"/>
        <w:rPr>
          <w:rFonts w:ascii="Times New Roman" w:hAnsi="Times New Roman" w:eastAsia="宋体" w:cs="Times New Roman"/>
          <w:color w:val="auto"/>
          <w:sz w:val="24"/>
          <w:szCs w:val="24"/>
          <w:highlight w:val="none"/>
        </w:rPr>
      </w:pPr>
    </w:p>
    <w:p w14:paraId="69736471">
      <w:pPr>
        <w:pStyle w:val="3"/>
        <w:bidi w:val="0"/>
        <w:ind w:left="575" w:leftChars="0" w:hanging="575" w:firstLineChars="0"/>
        <w:rPr>
          <w:rFonts w:hint="eastAsia"/>
          <w:lang w:val="en-US" w:eastAsia="zh-CN"/>
        </w:rPr>
      </w:pPr>
      <w:bookmarkStart w:id="94" w:name="_Toc808669659"/>
      <w:r>
        <w:rPr>
          <w:rFonts w:hint="eastAsia"/>
          <w:lang w:val="en-US" w:eastAsia="zh-CN"/>
        </w:rPr>
        <w:t>终端设备详细设计</w:t>
      </w:r>
      <w:bookmarkEnd w:id="94"/>
    </w:p>
    <w:p w14:paraId="6E883FFC">
      <w:pPr>
        <w:pStyle w:val="5"/>
        <w:bidi w:val="0"/>
        <w:ind w:left="720" w:leftChars="0" w:hanging="720" w:firstLineChars="0"/>
        <w:rPr>
          <w:rFonts w:hint="eastAsia"/>
          <w:lang w:val="en-US" w:eastAsia="zh-CN"/>
        </w:rPr>
      </w:pPr>
      <w:bookmarkStart w:id="95" w:name="_Toc2034440597"/>
      <w:r>
        <w:rPr>
          <w:rFonts w:hint="eastAsia"/>
          <w:lang w:val="en-US" w:eastAsia="zh-CN"/>
        </w:rPr>
        <w:t>内网计算终端（247台）</w:t>
      </w:r>
      <w:bookmarkEnd w:id="95"/>
    </w:p>
    <w:p w14:paraId="262B34C5">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内网计算终端是全院信息化业务的主要访问载体，配置数量为247台。主要部署于临床、医技、管理及其他需要访问院内业务系统的岗位，承担HIS、EMR、LIS、PACS以及各类智慧管理应用的客户端访问。</w:t>
      </w:r>
    </w:p>
    <w:tbl>
      <w:tblPr>
        <w:tblStyle w:val="16"/>
        <w:tblW w:w="8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2"/>
        <w:gridCol w:w="6282"/>
      </w:tblGrid>
      <w:tr w14:paraId="72B1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42" w:type="dxa"/>
            <w:shd w:val="clear" w:color="auto" w:fill="D9E2F3"/>
            <w:vAlign w:val="center"/>
          </w:tcPr>
          <w:p w14:paraId="05C06582">
            <w:pPr>
              <w:keepNext w:val="0"/>
              <w:keepLines w:val="0"/>
              <w:pageBreakBefore w:val="0"/>
              <w:widowControl w:val="0"/>
              <w:kinsoku/>
              <w:wordWrap/>
              <w:overflowPunct/>
              <w:topLinePunct w:val="0"/>
              <w:autoSpaceDE/>
              <w:autoSpaceDN/>
              <w:bidi w:val="0"/>
              <w:adjustRightInd/>
              <w:snapToGrid/>
              <w:spacing w:beforeLines="50" w:afterLines="5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设计项</w:t>
            </w:r>
          </w:p>
        </w:tc>
        <w:tc>
          <w:tcPr>
            <w:tcW w:w="6282" w:type="dxa"/>
            <w:shd w:val="clear" w:color="auto" w:fill="D9E2F3"/>
            <w:vAlign w:val="center"/>
          </w:tcPr>
          <w:p w14:paraId="622FAB14">
            <w:pPr>
              <w:keepNext w:val="0"/>
              <w:keepLines w:val="0"/>
              <w:pageBreakBefore w:val="0"/>
              <w:widowControl w:val="0"/>
              <w:kinsoku/>
              <w:wordWrap/>
              <w:overflowPunct/>
              <w:topLinePunct w:val="0"/>
              <w:autoSpaceDE/>
              <w:autoSpaceDN/>
              <w:bidi w:val="0"/>
              <w:adjustRightInd/>
              <w:snapToGrid/>
              <w:spacing w:beforeLines="50" w:afterLines="50"/>
              <w:jc w:val="center"/>
              <w:textAlignment w:val="auto"/>
              <w:rPr>
                <w:rFonts w:hint="eastAsia"/>
                <w:color w:val="auto"/>
                <w:sz w:val="21"/>
                <w:szCs w:val="21"/>
                <w:highlight w:val="none"/>
                <w:lang w:val="en-US" w:eastAsia="zh-CN"/>
              </w:rPr>
            </w:pPr>
            <w:r>
              <w:rPr>
                <w:rFonts w:hint="eastAsia"/>
                <w:color w:val="auto"/>
                <w:sz w:val="21"/>
                <w:szCs w:val="21"/>
                <w:highlight w:val="none"/>
                <w:lang w:val="en-US" w:eastAsia="zh-CN"/>
              </w:rPr>
              <w:t>基本要求</w:t>
            </w:r>
          </w:p>
        </w:tc>
      </w:tr>
      <w:tr w14:paraId="4E7A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vAlign w:val="center"/>
          </w:tcPr>
          <w:p w14:paraId="5D87F0E5">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业务定位</w:t>
            </w:r>
          </w:p>
        </w:tc>
        <w:tc>
          <w:tcPr>
            <w:tcW w:w="6282" w:type="dxa"/>
            <w:vAlign w:val="center"/>
          </w:tcPr>
          <w:p w14:paraId="5794EC82">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作为院内核心业务系统的标准使用终端，承担业务录入、查询、审核、报告、统计及日常办公等任务</w:t>
            </w:r>
          </w:p>
        </w:tc>
      </w:tr>
      <w:tr w14:paraId="7478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vAlign w:val="center"/>
          </w:tcPr>
          <w:p w14:paraId="2796AF16">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使用环境</w:t>
            </w:r>
          </w:p>
        </w:tc>
        <w:tc>
          <w:tcPr>
            <w:tcW w:w="6282" w:type="dxa"/>
            <w:vAlign w:val="center"/>
          </w:tcPr>
          <w:p w14:paraId="2A5C3005">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接入医院内网，按照信息安全架构实施身份认证、终端安全策略和访问控制</w:t>
            </w:r>
          </w:p>
        </w:tc>
      </w:tr>
      <w:tr w14:paraId="2BF6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vAlign w:val="center"/>
          </w:tcPr>
          <w:p w14:paraId="480C4BC4">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国产化要求</w:t>
            </w:r>
          </w:p>
        </w:tc>
        <w:tc>
          <w:tcPr>
            <w:tcW w:w="6282" w:type="dxa"/>
            <w:vAlign w:val="center"/>
          </w:tcPr>
          <w:p w14:paraId="021F14FC">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color w:val="auto"/>
                <w:sz w:val="21"/>
                <w:szCs w:val="21"/>
                <w:highlight w:val="none"/>
                <w:lang w:val="en-US" w:eastAsia="zh-CN"/>
              </w:rPr>
            </w:pPr>
            <w:r>
              <w:rPr>
                <w:rFonts w:hint="eastAsia"/>
                <w:color w:val="auto"/>
                <w:sz w:val="21"/>
                <w:szCs w:val="21"/>
                <w:highlight w:val="none"/>
              </w:rPr>
              <w:t>整机采用国产化芯片，预装国产操作系统及国产办公软件，符合国家及省级信创产品目录要求</w:t>
            </w:r>
          </w:p>
        </w:tc>
      </w:tr>
      <w:tr w14:paraId="5495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shd w:val="clear" w:color="auto" w:fill="auto"/>
            <w:vAlign w:val="center"/>
          </w:tcPr>
          <w:p w14:paraId="25BF2523">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兼容能力</w:t>
            </w:r>
          </w:p>
        </w:tc>
        <w:tc>
          <w:tcPr>
            <w:tcW w:w="6282" w:type="dxa"/>
            <w:shd w:val="clear" w:color="auto" w:fill="auto"/>
            <w:vAlign w:val="center"/>
          </w:tcPr>
          <w:p w14:paraId="6996C83F">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满足现有及规划业务系统客户端、浏览器、中间件及常用外设的运行要求</w:t>
            </w:r>
          </w:p>
        </w:tc>
      </w:tr>
      <w:tr w14:paraId="0A60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shd w:val="clear" w:color="auto" w:fill="auto"/>
            <w:vAlign w:val="center"/>
          </w:tcPr>
          <w:p w14:paraId="6DF587A7">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显示与交互</w:t>
            </w:r>
          </w:p>
        </w:tc>
        <w:tc>
          <w:tcPr>
            <w:tcW w:w="6282" w:type="dxa"/>
            <w:shd w:val="clear" w:color="auto" w:fill="auto"/>
            <w:vAlign w:val="center"/>
          </w:tcPr>
          <w:p w14:paraId="517586EE">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满足长时间业务录入、查询和文档处理的基本操作要求</w:t>
            </w:r>
          </w:p>
        </w:tc>
      </w:tr>
      <w:tr w14:paraId="62359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42" w:type="dxa"/>
            <w:shd w:val="clear" w:color="auto" w:fill="auto"/>
            <w:vAlign w:val="center"/>
          </w:tcPr>
          <w:p w14:paraId="59799527">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运维要求</w:t>
            </w:r>
          </w:p>
        </w:tc>
        <w:tc>
          <w:tcPr>
            <w:tcW w:w="6282" w:type="dxa"/>
            <w:shd w:val="clear" w:color="auto" w:fill="auto"/>
            <w:vAlign w:val="center"/>
          </w:tcPr>
          <w:p w14:paraId="12ADB877">
            <w:pPr>
              <w:keepNext w:val="0"/>
              <w:keepLines w:val="0"/>
              <w:pageBreakBefore w:val="0"/>
              <w:widowControl w:val="0"/>
              <w:kinsoku/>
              <w:wordWrap/>
              <w:overflowPunct/>
              <w:topLinePunct w:val="0"/>
              <w:autoSpaceDE/>
              <w:autoSpaceDN/>
              <w:bidi w:val="0"/>
              <w:adjustRightInd/>
              <w:snapToGrid/>
              <w:spacing w:beforeLines="50" w:afterLines="5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纳入医院统一终端资产、补丁、病毒防护、故障和变更管理</w:t>
            </w:r>
          </w:p>
        </w:tc>
      </w:tr>
    </w:tbl>
    <w:p w14:paraId="1860113F">
      <w:pPr>
        <w:pStyle w:val="5"/>
        <w:bidi w:val="0"/>
        <w:ind w:left="720" w:leftChars="0" w:hanging="720" w:firstLineChars="0"/>
        <w:rPr>
          <w:rFonts w:hint="eastAsia"/>
          <w:lang w:val="en-US" w:eastAsia="zh-CN"/>
        </w:rPr>
      </w:pPr>
      <w:bookmarkStart w:id="96" w:name="_Toc608486245"/>
      <w:r>
        <w:rPr>
          <w:rFonts w:hint="eastAsia"/>
          <w:lang w:val="en-US" w:eastAsia="zh-CN"/>
        </w:rPr>
        <w:t>外网计算终端（9台）</w:t>
      </w:r>
      <w:bookmarkEnd w:id="96"/>
    </w:p>
    <w:p w14:paraId="0CB0A81A">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rPr>
      </w:pPr>
      <w:r>
        <w:rPr>
          <w:rFonts w:hint="eastAsia"/>
          <w:color w:val="auto"/>
          <w:highlight w:val="none"/>
          <w:lang w:val="en-US" w:eastAsia="zh-CN"/>
        </w:rPr>
        <w:t>外网计算终端配置数量为9台，</w:t>
      </w:r>
      <w:r>
        <w:rPr>
          <w:rFonts w:ascii="Times New Roman" w:hAnsi="Times New Roman" w:eastAsia="宋体" w:cs="Times New Roman"/>
          <w:color w:val="auto"/>
          <w:sz w:val="24"/>
          <w:szCs w:val="24"/>
          <w:highlight w:val="none"/>
        </w:rPr>
        <w:t>仅部署于确有互联网业务依据的岗位：公共卫生科5台（省级公卫平台、慢病管理、传染病报告、居民健康档案</w:t>
      </w:r>
      <w:r>
        <w:rPr>
          <w:rFonts w:hint="eastAsia" w:cs="Times New Roman"/>
          <w:color w:val="auto"/>
          <w:sz w:val="24"/>
          <w:szCs w:val="24"/>
          <w:highlight w:val="none"/>
          <w:lang w:val="en-US" w:eastAsia="zh-CN"/>
        </w:rPr>
        <w:t>等</w:t>
      </w:r>
      <w:r>
        <w:rPr>
          <w:rFonts w:ascii="Times New Roman" w:hAnsi="Times New Roman" w:eastAsia="宋体" w:cs="Times New Roman"/>
          <w:color w:val="auto"/>
          <w:sz w:val="24"/>
          <w:szCs w:val="24"/>
          <w:highlight w:val="none"/>
        </w:rPr>
        <w:t>）、病案室1台（病案首页上报、医保结算清单上传</w:t>
      </w:r>
      <w:r>
        <w:rPr>
          <w:rFonts w:hint="eastAsia" w:cs="Times New Roman"/>
          <w:color w:val="auto"/>
          <w:sz w:val="24"/>
          <w:szCs w:val="24"/>
          <w:highlight w:val="none"/>
          <w:lang w:val="en-US" w:eastAsia="zh-CN"/>
        </w:rPr>
        <w:t>等</w:t>
      </w:r>
      <w:r>
        <w:rPr>
          <w:rFonts w:ascii="Times New Roman" w:hAnsi="Times New Roman" w:eastAsia="宋体" w:cs="Times New Roman"/>
          <w:color w:val="auto"/>
          <w:sz w:val="24"/>
          <w:szCs w:val="24"/>
          <w:highlight w:val="none"/>
        </w:rPr>
        <w:t>）、放射科1台（设备远程维护、远程会诊</w:t>
      </w:r>
      <w:r>
        <w:rPr>
          <w:rFonts w:hint="eastAsia" w:cs="Times New Roman"/>
          <w:color w:val="auto"/>
          <w:sz w:val="24"/>
          <w:szCs w:val="24"/>
          <w:highlight w:val="none"/>
          <w:lang w:val="en-US" w:eastAsia="zh-CN"/>
        </w:rPr>
        <w:t>等</w:t>
      </w:r>
      <w:r>
        <w:rPr>
          <w:rFonts w:ascii="Times New Roman" w:hAnsi="Times New Roman" w:eastAsia="宋体" w:cs="Times New Roman"/>
          <w:color w:val="auto"/>
          <w:sz w:val="24"/>
          <w:szCs w:val="24"/>
          <w:highlight w:val="none"/>
        </w:rPr>
        <w:t>）、检验科1台（设备远程质控）、急诊科1台（120急救调度对接）。外网终端与内网终端在网络接入、访问权限和安全策略上明确边界，不采用未经授权的跨网混用方式</w:t>
      </w:r>
      <w:r>
        <w:rPr>
          <w:rFonts w:hint="eastAsia"/>
          <w:color w:val="auto"/>
          <w:highlight w:val="none"/>
          <w:lang w:val="en-US" w:eastAsia="zh-CN"/>
        </w:rPr>
        <w:t>。</w:t>
      </w:r>
      <w:r>
        <w:rPr>
          <w:rFonts w:hint="eastAsia"/>
          <w:color w:val="auto"/>
          <w:highlight w:val="none"/>
        </w:rPr>
        <w:t>外网计算终端同样应满足国产化要求，采用国产化芯片、国产操作系统及国产办公软件。</w:t>
      </w:r>
    </w:p>
    <w:p w14:paraId="7E3D4010">
      <w:pPr>
        <w:pStyle w:val="5"/>
        <w:bidi w:val="0"/>
        <w:ind w:left="720" w:leftChars="0" w:hanging="720" w:firstLineChars="0"/>
        <w:rPr>
          <w:rFonts w:hint="eastAsia"/>
          <w:lang w:val="en-US" w:eastAsia="zh-CN"/>
        </w:rPr>
      </w:pPr>
      <w:bookmarkStart w:id="97" w:name="_Toc511192701"/>
      <w:r>
        <w:rPr>
          <w:rFonts w:hint="eastAsia"/>
          <w:lang w:val="en-US" w:eastAsia="zh-CN"/>
        </w:rPr>
        <w:t>激光打印机（168台）</w:t>
      </w:r>
      <w:bookmarkEnd w:id="97"/>
    </w:p>
    <w:p w14:paraId="1D3C5FB7">
      <w:pPr>
        <w:ind w:left="0" w:leftChars="0" w:firstLine="480" w:firstLineChars="200"/>
        <w:rPr>
          <w:rFonts w:hint="eastAsia"/>
          <w:color w:val="auto"/>
          <w:highlight w:val="none"/>
          <w:lang w:val="en-US" w:eastAsia="zh-CN"/>
        </w:rPr>
      </w:pPr>
      <w:r>
        <w:rPr>
          <w:rFonts w:hint="eastAsia"/>
          <w:color w:val="auto"/>
          <w:highlight w:val="none"/>
          <w:lang w:val="en-US" w:eastAsia="zh-CN"/>
        </w:rPr>
        <w:t>激光打印机配置数量为168台，主要用于医院业务文档、病历资料、医保清单等资料输出。设备应具有较好的打印稳定性和网络共享能力，并支持医院常用操作系统和业务客户端。对于临床高频输出点位，应重点关注打印响应速度、连续工作稳定性和耗材供应便利性。</w:t>
      </w:r>
      <w:r>
        <w:rPr>
          <w:rFonts w:hint="eastAsia"/>
          <w:color w:val="auto"/>
          <w:highlight w:val="none"/>
        </w:rPr>
        <w:t>设备须与国产操作系统（如麒麟、统信等）完全兼容。</w:t>
      </w:r>
    </w:p>
    <w:p w14:paraId="356DC96A">
      <w:pPr>
        <w:pStyle w:val="5"/>
        <w:bidi w:val="0"/>
        <w:ind w:left="720" w:leftChars="0" w:hanging="720" w:firstLineChars="0"/>
        <w:rPr>
          <w:rFonts w:hint="eastAsia"/>
          <w:lang w:val="en-US" w:eastAsia="zh-CN"/>
        </w:rPr>
      </w:pPr>
      <w:bookmarkStart w:id="98" w:name="_Toc1681137707"/>
      <w:r>
        <w:rPr>
          <w:rFonts w:hint="eastAsia"/>
          <w:lang w:val="en-US" w:eastAsia="zh-CN"/>
        </w:rPr>
        <w:t>针式打印机（10台）</w:t>
      </w:r>
      <w:bookmarkEnd w:id="98"/>
    </w:p>
    <w:p w14:paraId="371FC653">
      <w:pPr>
        <w:ind w:left="0" w:leftChars="0" w:firstLine="480" w:firstLineChars="200"/>
        <w:rPr>
          <w:rFonts w:hint="eastAsia"/>
          <w:color w:val="auto"/>
          <w:highlight w:val="none"/>
          <w:lang w:val="en-US" w:eastAsia="zh-CN"/>
        </w:rPr>
      </w:pPr>
      <w:r>
        <w:rPr>
          <w:rFonts w:hint="eastAsia"/>
          <w:color w:val="auto"/>
          <w:highlight w:val="none"/>
          <w:lang w:val="en-US" w:eastAsia="zh-CN"/>
        </w:rPr>
        <w:t>针式打印机配置数量为10台，主要用于票据、连续纸以及对打印格式具有特殊要求的业务场景。设备应支持相关业务系统调用，并满足连续打印、纸张适配及长期稳定工作的要求。其配置数量应与需求表中具体业务点位保持一致，不以普通激光打印机替代。</w:t>
      </w:r>
      <w:r>
        <w:rPr>
          <w:rFonts w:hint="eastAsia"/>
          <w:color w:val="auto"/>
          <w:highlight w:val="none"/>
        </w:rPr>
        <w:t>设备须与国产操作系统兼容。</w:t>
      </w:r>
    </w:p>
    <w:p w14:paraId="1A5A5529">
      <w:pPr>
        <w:pStyle w:val="5"/>
        <w:bidi w:val="0"/>
        <w:ind w:left="720" w:leftChars="0" w:hanging="720" w:firstLineChars="0"/>
        <w:rPr>
          <w:rFonts w:hint="eastAsia"/>
          <w:lang w:val="en-US" w:eastAsia="zh-CN"/>
        </w:rPr>
      </w:pPr>
      <w:bookmarkStart w:id="99" w:name="_Toc439097970"/>
      <w:r>
        <w:rPr>
          <w:rFonts w:hint="eastAsia"/>
          <w:lang w:val="en-US" w:eastAsia="zh-CN"/>
        </w:rPr>
        <w:t>彩色打印机（20台）</w:t>
      </w:r>
      <w:bookmarkEnd w:id="99"/>
    </w:p>
    <w:p w14:paraId="5C90494B">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彩色打印机配置数量为20台，</w:t>
      </w:r>
      <w:r>
        <w:rPr>
          <w:rFonts w:ascii="Times New Roman" w:hAnsi="Times New Roman" w:eastAsia="宋体" w:cs="Times New Roman"/>
          <w:color w:val="auto"/>
          <w:sz w:val="24"/>
          <w:szCs w:val="24"/>
          <w:highlight w:val="none"/>
        </w:rPr>
        <w:t>仅配置于确有彩色业务依据的点位</w:t>
      </w:r>
      <w:r>
        <w:rPr>
          <w:rFonts w:hint="eastAsia"/>
          <w:color w:val="auto"/>
          <w:highlight w:val="none"/>
          <w:lang w:val="en-US" w:eastAsia="zh-CN"/>
        </w:rPr>
        <w:t>。配置应遵循“确有业务需求再配置”的原则，重点满足色彩输出质量、稳定性、网络共享和耗材可维护性要求。</w:t>
      </w:r>
      <w:r>
        <w:rPr>
          <w:rFonts w:hint="eastAsia"/>
          <w:color w:val="auto"/>
          <w:highlight w:val="none"/>
        </w:rPr>
        <w:t>设备须与国产操作系统兼容。</w:t>
      </w:r>
    </w:p>
    <w:p w14:paraId="4854AB99">
      <w:pPr>
        <w:pStyle w:val="5"/>
        <w:bidi w:val="0"/>
        <w:ind w:left="720" w:leftChars="0" w:hanging="720" w:firstLineChars="0"/>
        <w:rPr>
          <w:rFonts w:hint="eastAsia"/>
          <w:lang w:val="en-US" w:eastAsia="zh-CN"/>
        </w:rPr>
      </w:pPr>
      <w:bookmarkStart w:id="100" w:name="_Toc1165770698"/>
      <w:r>
        <w:rPr>
          <w:rFonts w:hint="eastAsia"/>
          <w:lang w:val="en-US" w:eastAsia="zh-CN"/>
        </w:rPr>
        <w:t>条码打印机（34台）</w:t>
      </w:r>
      <w:bookmarkEnd w:id="100"/>
    </w:p>
    <w:p w14:paraId="2773002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rPr>
      </w:pPr>
      <w:r>
        <w:rPr>
          <w:rFonts w:hint="eastAsia"/>
          <w:color w:val="auto"/>
          <w:highlight w:val="none"/>
          <w:lang w:val="en-US" w:eastAsia="zh-CN"/>
        </w:rPr>
        <w:t>条码打印机配置数量为34台，重点服务于检验、标本、采血及其他需要条码标识的业务环节。条码设备应满足条码清晰度、打印稳定性、标签介质适配以及与业务系统联动调用等要求。</w:t>
      </w:r>
      <w:r>
        <w:rPr>
          <w:rFonts w:hint="eastAsia"/>
          <w:color w:val="auto"/>
          <w:highlight w:val="none"/>
        </w:rPr>
        <w:t>设备须与国产操作系统兼容。</w:t>
      </w:r>
    </w:p>
    <w:p w14:paraId="591BB73C">
      <w:pPr>
        <w:pStyle w:val="5"/>
        <w:bidi w:val="0"/>
        <w:ind w:left="720" w:leftChars="0" w:hanging="720" w:firstLineChars="0"/>
        <w:rPr>
          <w:rFonts w:hint="eastAsia"/>
          <w:lang w:val="en-US" w:eastAsia="zh-CN"/>
        </w:rPr>
      </w:pPr>
      <w:bookmarkStart w:id="101" w:name="_Toc1614809705"/>
      <w:r>
        <w:rPr>
          <w:rFonts w:hint="eastAsia"/>
          <w:lang w:val="en-US" w:eastAsia="zh-CN"/>
        </w:rPr>
        <w:t>热敏打印设备（8台）</w:t>
      </w:r>
      <w:bookmarkEnd w:id="101"/>
    </w:p>
    <w:p w14:paraId="445D7457">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热敏打印机配置数量为8台，热敏打印设备用于电子票据、财务及其他对即时打印和热敏介质存在需求的业务场景。设计阶段不对其数量作脱离需求表的新增推定，最终数量以医院确认的终端需求表为准。设备应满足业务系统调用、热敏介质适配、打印清晰度、连续工作稳定性和耗材供应要求。设备须与国产操作系统兼容。</w:t>
      </w:r>
    </w:p>
    <w:p w14:paraId="365FA491">
      <w:pPr>
        <w:pStyle w:val="3"/>
        <w:bidi w:val="0"/>
        <w:ind w:left="575" w:leftChars="0" w:hanging="575" w:firstLineChars="0"/>
        <w:rPr>
          <w:rFonts w:hint="eastAsia"/>
          <w:lang w:val="en-US" w:eastAsia="zh-CN"/>
        </w:rPr>
      </w:pPr>
      <w:bookmarkStart w:id="102" w:name="_Toc208381149"/>
      <w:r>
        <w:rPr>
          <w:rFonts w:hint="eastAsia"/>
          <w:lang w:val="en-US" w:eastAsia="zh-CN"/>
        </w:rPr>
        <w:t>终端设备部署与网络接入设计</w:t>
      </w:r>
      <w:bookmarkEnd w:id="102"/>
    </w:p>
    <w:p w14:paraId="70D02BB4">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终端部署应与项目总体网络及安全架构保持一致。现有方案对医院网络安全边界、内外网环境、访问控制、终端安全、日志审计等已作总体设计，不另行建立独立网络体系，而是从终端层面对既有网络架构进行落地。</w:t>
      </w:r>
    </w:p>
    <w:p w14:paraId="0B5EB371">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内网计算终端接入院内业务网络，根据业务区域和安全边界实施访问控制，不跨越授权边界访问外部网络。</w:t>
      </w:r>
    </w:p>
    <w:p w14:paraId="179B6984">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外网计算终端按照医院外网使用管理要求接入，并与内网核心业务终端形成明确的网络边界。外网终端实行实名登记、专机专用管理。</w:t>
      </w:r>
    </w:p>
    <w:p w14:paraId="1C062B06">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打印设备根据业务场景采用点对点、本地共享或网络打印方式部署，关键业务打印设备应明确责任岗位和使用范围。</w:t>
      </w:r>
    </w:p>
    <w:p w14:paraId="4FBF0ECA">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条码、票据、热敏等专业设备应就近部署，并确保与对应业务终端之间的接口、驱动和网络通信正常。</w:t>
      </w:r>
    </w:p>
    <w:p w14:paraId="7E47F621">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终端部署应同步完成网络端口、供电、桌面空间、综合布线及设备标识等实施条件确认。</w:t>
      </w:r>
    </w:p>
    <w:p w14:paraId="76EAE152">
      <w:pPr>
        <w:keepNext w:val="0"/>
        <w:keepLines w:val="0"/>
        <w:pageBreakBefore w:val="0"/>
        <w:widowControl/>
        <w:numPr>
          <w:ilvl w:val="0"/>
          <w:numId w:val="10"/>
        </w:numPr>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rPr>
        <w:t>国产操作系统终端的网络接入应支持标准TCP/IP协议，与院内网络设备和安全设备兼容。</w:t>
      </w:r>
    </w:p>
    <w:p w14:paraId="410F0F80">
      <w:pPr>
        <w:pStyle w:val="3"/>
        <w:bidi w:val="0"/>
        <w:ind w:left="575" w:leftChars="0" w:hanging="575" w:firstLineChars="0"/>
        <w:rPr>
          <w:rFonts w:hint="default"/>
          <w:lang w:val="en-US" w:eastAsia="zh-CN"/>
        </w:rPr>
      </w:pPr>
      <w:bookmarkStart w:id="103" w:name="_Toc1863626633"/>
      <w:r>
        <w:rPr>
          <w:rFonts w:hint="eastAsia"/>
          <w:lang w:val="en-US" w:eastAsia="zh-CN"/>
        </w:rPr>
        <w:t>终端设备技术参数要求</w:t>
      </w:r>
      <w:bookmarkEnd w:id="103"/>
    </w:p>
    <w:p w14:paraId="02DD3223">
      <w:pPr>
        <w:pStyle w:val="4"/>
        <w:rPr>
          <w:rFonts w:hint="default"/>
          <w:color w:val="auto"/>
          <w:highlight w:val="none"/>
          <w:lang w:val="en-US" w:eastAsia="zh-CN"/>
        </w:rPr>
      </w:pPr>
      <w:r>
        <w:rPr>
          <w:rFonts w:hint="default"/>
          <w:color w:val="auto"/>
          <w:highlight w:val="none"/>
          <w:lang w:val="en-US" w:eastAsia="zh-CN"/>
        </w:rPr>
        <w:t>为使终端设备设计不仅能够明确配置数量，而且能够为后续政府采购、技术需求编制、到货验收和运行维护提供统一依据，本项目进一步明确各类终端设备的技术参数要求。以下参数属于设计阶段的建议最低技术指标，重点用于界定设备能力边界，不指定具体品牌、型号及供应商。采购阶段应结合政府采购及集中采购目录、采购时点市场主流产品、医院业务系统实际兼容性和预算情况进行复核，并允许满足或优于本方案要求的等效产品参与采购。</w:t>
      </w:r>
    </w:p>
    <w:tbl>
      <w:tblPr>
        <w:tblStyle w:val="15"/>
        <w:tblW w:w="8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2"/>
        <w:gridCol w:w="1366"/>
        <w:gridCol w:w="5588"/>
        <w:gridCol w:w="879"/>
      </w:tblGrid>
      <w:tr w14:paraId="574A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92" w:type="dxa"/>
            <w:shd w:val="clear" w:color="auto" w:fill="auto"/>
            <w:noWrap/>
            <w:vAlign w:val="center"/>
          </w:tcPr>
          <w:p w14:paraId="7B850DF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序号</w:t>
            </w:r>
          </w:p>
        </w:tc>
        <w:tc>
          <w:tcPr>
            <w:tcW w:w="1366" w:type="dxa"/>
            <w:shd w:val="clear" w:color="auto" w:fill="auto"/>
            <w:vAlign w:val="center"/>
          </w:tcPr>
          <w:p w14:paraId="232372E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产品名称</w:t>
            </w:r>
          </w:p>
        </w:tc>
        <w:tc>
          <w:tcPr>
            <w:tcW w:w="5588" w:type="dxa"/>
            <w:shd w:val="clear" w:color="auto" w:fill="auto"/>
            <w:vAlign w:val="center"/>
          </w:tcPr>
          <w:p w14:paraId="369EF44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产品描述</w:t>
            </w:r>
          </w:p>
        </w:tc>
        <w:tc>
          <w:tcPr>
            <w:tcW w:w="879" w:type="dxa"/>
            <w:shd w:val="clear" w:color="auto" w:fill="auto"/>
            <w:vAlign w:val="center"/>
          </w:tcPr>
          <w:p w14:paraId="42F2C2E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数量</w:t>
            </w:r>
          </w:p>
        </w:tc>
      </w:tr>
      <w:tr w14:paraId="1112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25" w:type="dxa"/>
            <w:gridSpan w:val="4"/>
            <w:shd w:val="clear" w:color="auto" w:fill="auto"/>
            <w:noWrap/>
            <w:vAlign w:val="center"/>
          </w:tcPr>
          <w:p w14:paraId="461616F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（一）电脑终端</w:t>
            </w:r>
          </w:p>
        </w:tc>
      </w:tr>
      <w:tr w14:paraId="781C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shd w:val="clear" w:color="auto" w:fill="auto"/>
            <w:vAlign w:val="center"/>
          </w:tcPr>
          <w:p w14:paraId="2D0D165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p>
        </w:tc>
        <w:tc>
          <w:tcPr>
            <w:tcW w:w="1366" w:type="dxa"/>
            <w:shd w:val="clear" w:color="auto" w:fill="auto"/>
            <w:vAlign w:val="center"/>
          </w:tcPr>
          <w:p w14:paraId="6A13BAB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内网电脑终端</w:t>
            </w:r>
          </w:p>
        </w:tc>
        <w:tc>
          <w:tcPr>
            <w:tcW w:w="5588" w:type="dxa"/>
            <w:shd w:val="clear" w:color="auto" w:fill="auto"/>
            <w:vAlign w:val="center"/>
          </w:tcPr>
          <w:p w14:paraId="035C5F5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1.★CPU规格：采用国产C86/X86架构处理器，CPU物理核数≥8核，主频≥2.3GHz，三级缓存≥16MB，线程数≥16，内存最高速率≥2666MT/s。</w:t>
            </w:r>
          </w:p>
          <w:p w14:paraId="0DB0EC4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2.★内存规格：内存配置容量≥16G，内存类型≥DDR4，内存条配置数量≥1。</w:t>
            </w:r>
          </w:p>
          <w:p w14:paraId="3317C12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3.★主板集成模块：集成资源扩展模块、计算处理模块、音频扩展模块等，主板的互联拓扑可通过处理器或交换电路实现。</w:t>
            </w:r>
          </w:p>
          <w:p w14:paraId="5D91F5C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4.★主板支持的CPU和内存情况：支持的CPU和投标人提供的CPU相匹配。</w:t>
            </w:r>
          </w:p>
          <w:p w14:paraId="101826A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5.★主板其他内置接口：提供≥1个SATA、≥1个M.2、≥4个USB接口。</w:t>
            </w:r>
          </w:p>
          <w:p w14:paraId="24354F7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6.★单内存插槽最大可支持容量（板载内存不涉及）≥16G，内存插槽满配时提供的最高内存总容量≥32G。</w:t>
            </w:r>
          </w:p>
          <w:p w14:paraId="68DE6D4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7.★固态盘数量≥1，固态存储容量≥512GB；固态存储形态：采用插卡或板载等形态，可选用符合M.2 或 2.5 寸 SATA 或 mSATA 等标准的插卡形态；</w:t>
            </w:r>
          </w:p>
          <w:p w14:paraId="19309E8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8.★机械硬盘数量≥1，机械硬盘总容量≥1TB，机械硬盘转速≥5400rpm；机械硬盘形态：2.5 英寸或 3.5 英寸。</w:t>
            </w:r>
          </w:p>
          <w:p w14:paraId="665C19C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9.★存储设备其他参数要求：a)固态盘应符合 SJ/T 11654 相关规定；b)机械硬盘准备时间应不大于 30s；侧面固定螺丝孔数量可为 4 孔或 6 孔；工作状态环境温度应满足 5℃~55℃；其它参数应符合 GB/T 12628 相关规定。</w:t>
            </w:r>
          </w:p>
          <w:p w14:paraId="6E95380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10.★显卡规格：独立显卡，显存类型应≥DDR3，显存位宽≥16位，显存容量≥2GB。</w:t>
            </w:r>
          </w:p>
          <w:p w14:paraId="11D1CD3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显示设备规格：显示屏屏占比≥80%，显示屏分辨率≥1920x1080，显示屏尺寸≥23.8英寸，显示屏屏幕比例16:9，显示器外观颜色：选用黑色/白色/银色等商务色系；支持防蓝光模式，蓝光加权辐射亮度比应≤0.0012W/(·cd·sr)（瓦每坎特拉每球面度）；显示屏应支持低频闪≤-35dB；显示屏镜面反射率≤10%。</w:t>
            </w:r>
          </w:p>
          <w:p w14:paraId="267BC7D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12.★外设规格：鼠标数量≥1个；键盘数量≥1个，键盘按键数目：‌104键；键盘连接方式：有线；键盘键程：2.3mm-4.0mm；键盘按键压力：0.54 N±0.14N；有线键盘连接线≥1.5米；键盘颜色：黑色；鼠标连接方式：有线；有线鼠标连接线≥1.5米；鼠标 DPI分辨率：800-1600；鼠标颜色：黑色；鼠标其他要求：其它参数应符合 GB/T 26245 的相关规定。</w:t>
            </w:r>
          </w:p>
          <w:p w14:paraId="007856F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13.★有线网卡数量：≥1个千兆网口。</w:t>
            </w:r>
          </w:p>
          <w:p w14:paraId="1ED4AAC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14.★USB 接口数量：机箱前面板应提供不少于 3 个 USB 接口（含 2 个 USB3.0 及以上接口）。</w:t>
            </w:r>
          </w:p>
          <w:p w14:paraId="13DC969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15.★视频接口数量：≥1。</w:t>
            </w:r>
          </w:p>
          <w:p w14:paraId="7064F86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16.★音频接口数量：≥1。</w:t>
            </w:r>
          </w:p>
          <w:p w14:paraId="7DF2BB3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17.★整机外观：a) 产品表面不应有凹痕、划伤、裂缝、变形和污染等。表面涂层均匀，不应起泡、龟裂、脱落和磨损，金属零部件无锈蚀及其它机械损伤；b) 产品表面说明功能的文字、符号、标志，应清晰、端正、牢固。</w:t>
            </w:r>
          </w:p>
          <w:p w14:paraId="74BF44C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18.★状态指示灯：在产品显著位置提供状态指示功能，如运行状态，供应商应提供详细参数。</w:t>
            </w:r>
          </w:p>
          <w:p w14:paraId="3DEC75A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19.★整机结构：a) 机箱应符合 GB/T 4208、GB/T 26246的相关规定；b) 产品内部结构应符合通用部件的安装需求；c) 所有输入输出接口应符合相关国家或行业标准；</w:t>
            </w:r>
          </w:p>
          <w:p w14:paraId="0532476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d)产品零部件应紧固无松动，可插拔部件应可靠连接，开关、按钮和其它控制部件应灵活可靠，布局应方便使用；e) 所有 I/O 连接器及需插接线缆的部位应预留采购人操作空间，方便插拔解锁与插拔线缆；f) 可插拔板卡插槽部位应预留安装、拆卸或更换板卡空间；g) 拆装可能接触到的金属剪口或金属尖角部位应做防划伤处理，以保证安全；h) 整机内部走线应规整，固线结构和位置要合理可靠并做防割线处理，需便于理线和插拔操作，走线应不影响系统各主要部件组装和拆卸；i) 如需通过孔走线，过线孔应做防割线处理；j) 各插头位置和插拔方向应合理，应做到插拔无障碍设计，具备防呆设计，有效避免误操作；k) 各主要部件拆装无障碍，使用常规工具拆装，无特殊拆装工具需求；l) 各主要部件拆装步骤要少，各自拆装需避免相互干扰；m) 对于整机或零部件外表面为高亮面的，应粘贴保护膜，保护膜需粘贴牢固，运输、组装等过程不易脱落，撕下无残留；n) 其它要求应符合 GB/T 9813.1 的相关规定。</w:t>
            </w:r>
          </w:p>
          <w:p w14:paraId="0CB3F6A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20.★机箱防护要求：机箱应符合 GB/T 4208 中 IP20 防护要求。</w:t>
            </w:r>
          </w:p>
          <w:p w14:paraId="1A9C7D5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21.★整机噪音：产品工作在空闲状态下，产品的声功率级应不超过 4.5 Bel。</w:t>
            </w:r>
          </w:p>
          <w:p w14:paraId="20AC264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22.★整机散热：在环境温度 25℃及处理器满载情况下，产品表面温度应符合如下要求：a) 出风口在机箱后面板情况下，出风口温度不高于55℃；b) 可触及面温度不高于 45℃；c) 显示器表面温度：显示屏不高于38℃，显示屏上下灯带位置温度（如涉及）不高于40℃，出风口温度不高于45℃。</w:t>
            </w:r>
          </w:p>
          <w:p w14:paraId="38A18C3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23.★整机能效限定值：产品能效限定值应达到 GB 28380-2012标准中能效等级 2 级及以上（能效值越低消耗电能越少，1 级低于2级，2 级低于3级）。</w:t>
            </w:r>
          </w:p>
          <w:p w14:paraId="763EA2A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24.★机身材质：塑料/金属等；机身颜色：采用灰色/黑色等商务色系；机箱尺寸容量应不大于30L。</w:t>
            </w:r>
          </w:p>
          <w:p w14:paraId="51FE714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25.★CPU性能：CPU 物理核数≥8核，主频≥2.3GHz，三级缓存≥16MB，CPU 支持的内存最高速率≥2666MT/s。</w:t>
            </w:r>
          </w:p>
          <w:p w14:paraId="6188D85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26.★内存性能：内存读写速率≥2666MT/s。</w:t>
            </w:r>
          </w:p>
          <w:p w14:paraId="2ECADEB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27.★显卡性能：显示分辨率≥1920x1080，显卡显示芯片核心频率≥300MHz，显存等效频率≥1000MT/s，显卡应支持 2 块屏幕同时显示，分辨率应不低于1920×1080。</w:t>
            </w:r>
          </w:p>
          <w:p w14:paraId="7EBD1DB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28.★显示设备性能：显示屏刷新率≥75Hz，显示屏位深≥8 位，显示屏色域≥99% sRGB，显示屏色准△E ≤4，显示屏响应时间≤8ms，显示屏亮度≥250 尼特，显示屏亮度一致性≥70%，显示屏对比度≥500：1，显示屏其他参数应符合 SJ/T 11292 的相关规定。</w:t>
            </w:r>
          </w:p>
          <w:p w14:paraId="34975AD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29.★网络设备性能：有线网卡速率应不低于1000Mbps，应支持10Mbps、100Mbps、1000Mbps速率自适应。</w:t>
            </w:r>
          </w:p>
          <w:p w14:paraId="2D93AE1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30.★主板功能：内存扩展接口(板载内存不涉及)≥2 个；主板支持USB瞬间过流保护；支持防静电保护功能；提供基于标准USB接口外设连接功能、基于音频输入输出接口的音频扩展功能、基于PCIe接口板卡扩展功能、基于HDMI或VGA或Type-C或DVI或 DP等接口外接显示器扩展功能、基于存储接口对产品进行增容功能等。产品I/O接口，应具备外接标准USB设备、显示器、音频设备等内外部设备能力。</w:t>
            </w:r>
          </w:p>
          <w:p w14:paraId="016DEC2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31.★显卡功能：显卡至少支持 VGA、HDMI、DVI、DP、Type-C 中 1 种显示接口，并与显示器接口相匹配。</w:t>
            </w:r>
          </w:p>
          <w:p w14:paraId="4914292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32.★显示设备功能：显示器应与显卡外接显示接口匹配；显示器应提供显示器支架；显示器参数调节：a)提供 OSD 选单按钮用于调节色彩、模式等；b)支持色温、亮度、对比度调节。</w:t>
            </w:r>
          </w:p>
          <w:p w14:paraId="10E90AA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33.★存储功能：通过 SATA 固态存储/PCIe 固态存储/UFS 固态存储/SATA 硬磁盘等存储部件提供存储功能。</w:t>
            </w:r>
          </w:p>
          <w:p w14:paraId="1A1A9C3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34.★网络设备功能：a)支持网络连接、网络开启/关闭功能；b)支持访问网络和数据交换功能。支持数据传输能力，并提供数据流量和异常日志记录功能。有线网卡接口类型：RJ45 接口。网络设备支持物理拆装，包括无线网卡和蓝牙模块等。</w:t>
            </w:r>
          </w:p>
          <w:p w14:paraId="723D2E8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35.★外部接口功能：音频接口类型支持3.5mm孔径 3 段式或 4 段式接口；视频接口类型至少支持 VGA、HDMI、DVI、DP、Type-C中 1 种显示接口；若提供 HDMI 或 DP 或 Type-C 作为显示接口，应支持音频和视频同步输出。</w:t>
            </w:r>
          </w:p>
          <w:p w14:paraId="19BFC93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36.★电源功能：电源适配器电线组件应符合 GB/T 15934 的要求，可拆线的插头和连接器可以不做要求。</w:t>
            </w:r>
          </w:p>
          <w:p w14:paraId="688D7FB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37.★操作系统及软件功能：中文信息处理要求符合 GB 18030 的相关规定；支持操作系统备份及还原功能；支持备份及还原固件的功能；支持通过网络、闪存盘等方式对操作系统、驱动进行升级；支持通过网络、闪存盘等方式对固件进行升级；支持 BIOS 关闭以太网及 USB 接口；支持查看固件版本、内存信息、主板信息、处理器信息和系统时间信息等功能；支持设置启动顺序功能，并按照设置的启动顺序启动；支持设置口令、修改口令、验证口令功能；支持网络引导启动和关闭功能。</w:t>
            </w:r>
          </w:p>
          <w:p w14:paraId="4B04A4E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38.★存储设备可靠性：固态存储寿命TBW ≥80TB（条件：240GB 硬盘容量）；机械硬盘寿命：通电时间≥5万小时。</w:t>
            </w:r>
          </w:p>
          <w:p w14:paraId="6C7E825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39.★显示设备可靠性：显示屏屏幕失效点符合 GB/T 9813.2 的要求。</w:t>
            </w:r>
          </w:p>
          <w:p w14:paraId="54F8560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40.★外设可靠性：键盘按键寿命≥1000万次；鼠标按键寿命≥500万次；键盘鼠标线材寿命：键盘鼠标所用线材经±60°弯折不低于3000次，功能、外观完好；风扇寿命≥4万小时。</w:t>
            </w:r>
          </w:p>
          <w:p w14:paraId="768D7D2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41.★整机可靠性要求：电磁兼容性要求的抗扰度符合GB/T 9254.2的规定；环境条件要求的气候环境适应性符合GB/T 9813.1中规定；环境条件要求的振动适应性符合 GB/T 9813.1中规定；环境条件要求的冲击适应性符合GB/T 9813.1中规定；环境条件要求的碰撞适应性符合GB/T 9813.1中规定；环境条件要求的运输包装件跌落适应性符合GB/T 9813.1中规定；MTBF(m1)≥3万小时。</w:t>
            </w:r>
          </w:p>
          <w:p w14:paraId="67BD9B0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42.★兼容要求：支持流式软件、版式软件、浏览器、邮件采购人端、解压软件、多媒体、图形图像处理等常用软件；兼容 3 个及以上厂商的数据库产品；兼容 3 个及以上厂商中间件产品；兼容 3 个及以上厂商云计算及大数据平台。</w:t>
            </w:r>
          </w:p>
          <w:p w14:paraId="3D71650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43.★包装及运输要求：符合 GB/T 9813.1 和商品包装政府采购需求标准的相关规定。</w:t>
            </w:r>
          </w:p>
          <w:p w14:paraId="381BD26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44.★配置检查工具：供应商提供自检测试工具。</w:t>
            </w:r>
          </w:p>
          <w:p w14:paraId="53C21B2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45.★服务响应：a)供应商提供电话、电子邮件、远程连接等多种形式服务；b)供应商提供同城 4h、异地 12h 技术响应服务，2 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14:paraId="6A00632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46.★服务周期：a) 设备停产后应继续提供质量保障服务（含备品备件），服务终止时间与最后一批设备交付时间间隔不低于6 年；b) 产品停止服务时间应提前 1 年告知；c) 应明确产品发布日期。</w:t>
            </w:r>
          </w:p>
          <w:p w14:paraId="119E5F4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47.★预装操作系统：预装符合桌面操作系统政府采购需求标准的正版操作系统。</w:t>
            </w:r>
          </w:p>
          <w:p w14:paraId="567818A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48.★培训服务：供应商提供培训材料、产品手册、培训视频等培训相关内容。</w:t>
            </w:r>
          </w:p>
          <w:p w14:paraId="0D39315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49.★典型问题解决手册：供应商提供典型问题解决说明文档或视频。</w:t>
            </w:r>
          </w:p>
          <w:p w14:paraId="5736994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50.★厂家升级软件与扩容服务：供应商提供上门升级部件/软件与扩容的增值服务。</w:t>
            </w:r>
          </w:p>
          <w:p w14:paraId="6E5FB7A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51.★整机质量服务要求：免费服务周期（含换件和维修）应不小于3年。</w:t>
            </w:r>
          </w:p>
          <w:p w14:paraId="2495EA2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52.★合格证书要求：供应商提供产品合格证。</w:t>
            </w:r>
          </w:p>
          <w:p w14:paraId="116A5AE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53.★开箱组装/使用指导要求：供应商提供开箱组装/使用指导。</w:t>
            </w:r>
          </w:p>
          <w:p w14:paraId="2C6142E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54.★驱动下载服务要求：供应商提供驱动光盘或下载方式。</w:t>
            </w:r>
          </w:p>
          <w:p w14:paraId="7B802B2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55.★兼容适配软件下载服务要求：供应商提供兼容适配软件下载渠道（光盘、网站）。</w:t>
            </w:r>
          </w:p>
          <w:p w14:paraId="25554DE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56.★供应链合规性：供应商保障产品主要部件，提供6年的备件服务能力（自购买之日起），或提供可兼容原设备的升级换代产品。</w:t>
            </w:r>
          </w:p>
          <w:p w14:paraId="4A9471E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57.★抗干扰性：当产品部件出现供应风险时，供应商应通知采购人并提供风险应对方案确保产品的服务保障。</w:t>
            </w:r>
          </w:p>
          <w:p w14:paraId="679DFE3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58.★供应能力证明：供应商提供供应链稳定承诺书，确保产品的部件在产品服务周期内稳定供货。</w:t>
            </w:r>
          </w:p>
          <w:p w14:paraId="6FE7907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59.★关键部件安全要求：CPU 和操作系统等关键部件应当符合安全可靠测评要求。</w:t>
            </w:r>
          </w:p>
          <w:p w14:paraId="6B81007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60.★密码算法实现：CPU 芯片应符合 GM/T 0008 的相关规定，或芯片密码模块应符合 GB/T 37092或 GM/T 0028 的相关规定。</w:t>
            </w:r>
          </w:p>
          <w:p w14:paraId="28DE9AC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61.★信息安全基本要求：a) 产品应符合 GB/T 39276 的 5.2 的规定；b) 生产厂商应建立漏洞跟踪表，保证产品版本涉及到的漏洞(如驱动程序等)可查看；c) 产品不得包含已知的恶意代码或漏洞，不存在未声明的指令、功能、接口。</w:t>
            </w:r>
          </w:p>
          <w:p w14:paraId="61391FE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62.★固件安全启动：支持固件安全启动功能，固件启动过程中只有通过启动校验才能正常启动。</w:t>
            </w:r>
          </w:p>
          <w:p w14:paraId="207716E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63.★限用物质的限量要求：符合 GB/T 26572 中规定。</w:t>
            </w:r>
          </w:p>
        </w:tc>
        <w:tc>
          <w:tcPr>
            <w:tcW w:w="879" w:type="dxa"/>
            <w:shd w:val="clear" w:color="auto" w:fill="auto"/>
            <w:vAlign w:val="center"/>
          </w:tcPr>
          <w:p w14:paraId="21192642">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247台</w:t>
            </w:r>
          </w:p>
        </w:tc>
      </w:tr>
      <w:tr w14:paraId="6DA2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43" w:hRule="atLeast"/>
          <w:jc w:val="center"/>
        </w:trPr>
        <w:tc>
          <w:tcPr>
            <w:tcW w:w="792" w:type="dxa"/>
            <w:shd w:val="clear" w:color="auto" w:fill="auto"/>
            <w:vAlign w:val="center"/>
          </w:tcPr>
          <w:p w14:paraId="751AD20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p>
        </w:tc>
        <w:tc>
          <w:tcPr>
            <w:tcW w:w="1366" w:type="dxa"/>
            <w:shd w:val="clear" w:color="auto" w:fill="auto"/>
            <w:vAlign w:val="center"/>
          </w:tcPr>
          <w:p w14:paraId="5B542D4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外网电脑终端</w:t>
            </w:r>
          </w:p>
        </w:tc>
        <w:tc>
          <w:tcPr>
            <w:tcW w:w="5588" w:type="dxa"/>
            <w:shd w:val="clear" w:color="auto" w:fill="auto"/>
            <w:vAlign w:val="center"/>
          </w:tcPr>
          <w:p w14:paraId="0AF3183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1.★CPU规格：采用国产C86/X86架构处理器，CPU物理核数≥8核，主频≥2.3GHz，三级缓存≥16MB，线程数≥16，内存最高速率≥2666MT/s。</w:t>
            </w:r>
          </w:p>
          <w:p w14:paraId="1B82D35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2.★内存规格：内存配置容量≥16G，内存类型≥DDR4，内存条配置数量≥1。</w:t>
            </w:r>
          </w:p>
          <w:p w14:paraId="67F7354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3.★主板集成模块：集成资源扩展模块、计算处理模块、音频扩展模块等，主板的互联拓扑可通过处理器或交换电路实现。</w:t>
            </w:r>
          </w:p>
          <w:p w14:paraId="4A53605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4.★主板支持的CPU和内存情况：支持的CPU和投标人提供的CPU相匹配。</w:t>
            </w:r>
          </w:p>
          <w:p w14:paraId="628711A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5.★主板其他内置接口：提供≥1个SATA、≥1个M.2、≥4个USB接口。</w:t>
            </w:r>
          </w:p>
          <w:p w14:paraId="7A53A68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6.★单内存插槽最大可支持容量（板载内存不涉及）≥16G，内存插槽满配时提供的最高内存总容量≥32G。</w:t>
            </w:r>
          </w:p>
          <w:p w14:paraId="5165310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7.★固态盘数量≥1，固态存储容量≥512GB；固态存储形态：采用插卡或板载等形态，可选用符合M.2 或 2.5 寸 SATA 或 mSATA 等标准的插卡形态；</w:t>
            </w:r>
          </w:p>
          <w:p w14:paraId="04C4AE3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8.★机械硬盘数量≥1，机械硬盘总容量≥1TB，机械硬盘转速≥5400rpm；机械硬盘形态：2.5 英寸或 3.5 英寸。</w:t>
            </w:r>
          </w:p>
          <w:p w14:paraId="6073515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9.★存储设备其他参数要求：a)固态盘应符合 SJ/T 11654 相关规定；b)机械硬盘准备时间应不大于 30s；侧面固定螺丝孔数量可为 4 孔或 6 孔；工作状态环境温度应满足 5℃~55℃；其它参数应符合 GB/T 12628 相关规定。</w:t>
            </w:r>
          </w:p>
          <w:p w14:paraId="713B18E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10.★显卡规格：独立显卡，显存类型应≥DDR3，显存位宽≥16位，显存容量≥2GB。</w:t>
            </w:r>
          </w:p>
          <w:p w14:paraId="1C74931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显示设备规格：显示屏屏占比≥80%，显示屏分辨率≥1920x1080，显示屏尺寸≥23.8英寸，显示屏屏幕比例16:9，显示器外观颜色：选用黑色/白色/银色等商务色系；支持防蓝光模式，蓝光加权辐射亮度比应≤0.0012W/(·cd·sr)（瓦每坎特拉每球面度）；显示屏应支持低频闪≤-35dB；显示屏镜面反射率≤10%。</w:t>
            </w:r>
          </w:p>
          <w:p w14:paraId="41B51B7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12.★外设规格：鼠标数量≥1个；键盘数量≥1个，键盘按键数目：‌104键；键盘连接方式：有线；键盘键程：2.3mm-4.0mm；键盘按键压力：0.54 N±0.14N；有线键盘连接线≥1.5米；键盘颜色：黑色；鼠标连接方式：有线；有线鼠标连接线≥1.5米；鼠标 DPI分辨率：800-1600；鼠标颜色：黑色；鼠标其他要求：其它参数应符合 GB/T 26245 的相关规定。</w:t>
            </w:r>
          </w:p>
          <w:p w14:paraId="4C6EA18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13.★有线网卡数量：≥1个千兆网口。</w:t>
            </w:r>
          </w:p>
          <w:p w14:paraId="317E0B5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14.★USB 接口数量：机箱前面板应提供不少于 3 个 USB 接口（含 2 个 USB3.0 及以上接口）。</w:t>
            </w:r>
          </w:p>
          <w:p w14:paraId="40050C0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15.★视频接口数量：≥1。</w:t>
            </w:r>
          </w:p>
          <w:p w14:paraId="588CA8F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16.★音频接口数量：≥1。</w:t>
            </w:r>
          </w:p>
          <w:p w14:paraId="2DD2E59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17.★整机外观：a) 产品表面不应有凹痕、划伤、裂缝、变形和污染等。表面涂层均匀，不应起泡、龟裂、脱落和磨损，金属零部件无锈蚀及其它机械损伤；b) 产品表面说明功能的文字、符号、标志，应清晰、端正、牢固。</w:t>
            </w:r>
          </w:p>
          <w:p w14:paraId="345A481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18.★状态指示灯：在产品显著位置提供状态指示功能，如运行状态，供应商应提供详细参数。</w:t>
            </w:r>
          </w:p>
          <w:p w14:paraId="607E75D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19.★整机结构：a) 机箱应符合 GB/T 4208、GB/T 26246的相关规定；b) 产品内部结构应符合通用部件的安装需求；c) 所有输入输出接口应符合相关国家或行业标准；</w:t>
            </w:r>
          </w:p>
          <w:p w14:paraId="0798486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d)产品零部件应紧固无松动，可插拔部件应可靠连接，开关、按钮和其它控制部件应灵活可靠，布局应方便使用；e) 所有 I/O 连接器及需插接线缆的部位应预留采购人操作空间，方便插拔解锁与插拔线缆；f) 可插拔板卡插槽部位应预留安装、拆卸或更换板卡空间；g) 拆装可能接触到的金属剪口或金属尖角部位应做防划伤处理，以保证安全；h) 整机内部走线应规整，固线结构和位置要合理可靠并做防割线处理，需便于理线和插拔操作，走线应不影响系统各主要部件组装和拆卸；i) 如需通过孔走线，过线孔应做防割线处理；j) 各插头位置和插拔方向应合理，应做到插拔无障碍设计，具备防呆设计，有效避免误操作；k) 各主要部件拆装无障碍，使用常规工具拆装，无特殊拆装工具需求；l) 各主要部件拆装步骤要少，各自拆装需避免相互干扰；m) 对于整机或零部件外表面为高亮面的，应粘贴保护膜，保护膜需粘贴牢固，运输、组装等过程不易脱落，撕下无残留；n) 其它要求应符合 GB/T 9813.1 的相关规定。</w:t>
            </w:r>
          </w:p>
          <w:p w14:paraId="231AB6C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20.★机箱防护要求：机箱应符合 GB/T 4208 中 IP20 防护要求。</w:t>
            </w:r>
          </w:p>
          <w:p w14:paraId="57B273C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21.★整机噪音：产品工作在空闲状态下，产品的声功率级应不超过 4.5 Bel。</w:t>
            </w:r>
          </w:p>
          <w:p w14:paraId="4AD9D6D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22.★整机散热：在环境温度 25℃及处理器满载情况下，产品表面温度应符合如下要求：a) 出风口在机箱后面板情况下，出风口温度不高于55℃；b) 可触及面温度不高于 45℃；c) 显示器表面温度：显示屏不高于38℃，显示屏上下灯带位置温度（如涉及）不高于40℃，出风口温度不高于45℃。</w:t>
            </w:r>
          </w:p>
          <w:p w14:paraId="3CD34D9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23.★整机能效限定值：产品能效限定值应达到 GB 28380-2012标准中能效等级 2 级及以上（能效值越低消耗电能越少，1 级低于2级，2 级低于3级）。</w:t>
            </w:r>
          </w:p>
          <w:p w14:paraId="75F729C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24.★机身材质：塑料/金属等；机身颜色：采用灰色/黑色等商务色系；机箱尺寸容量应不大于30L。</w:t>
            </w:r>
          </w:p>
          <w:p w14:paraId="7A8BCB5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25.★CPU性能：CPU 物理核数≥8核，主频≥2.3GHz，三级缓存≥16MB，CPU 支持的内存最高速率≥2666MT/s。</w:t>
            </w:r>
          </w:p>
          <w:p w14:paraId="4DB1649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26.★内存性能：内存读写速率≥2666MT/s。</w:t>
            </w:r>
          </w:p>
          <w:p w14:paraId="79C3E3B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27.★显卡性能：显示分辨率≥1920x1080，显卡显示芯片核心频率≥300MHz，显存等效频率≥1000MT/s，显卡应支持 2 块屏幕同时显示，分辨率应不低于1920×1080。</w:t>
            </w:r>
          </w:p>
          <w:p w14:paraId="4772F6A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28.★显示设备性能：显示屏刷新率≥75Hz，显示屏位深≥8 位，显示屏色域≥99% sRGB，显示屏色准△E ≤4，显示屏响应时间≤8ms，显示屏亮度≥250 尼特，显示屏亮度一致性≥70%，显示屏对比度≥500：1，显示屏其他参数应符合 SJ/T 11292 的相关规定。</w:t>
            </w:r>
          </w:p>
          <w:p w14:paraId="21CC5F3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29.★网络设备性能：有线网卡速率应不低于1000Mbps，应支持10Mbps、100Mbps、1000Mbps速率自适应。</w:t>
            </w:r>
          </w:p>
          <w:p w14:paraId="3BCD20C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30.★主板功能：内存扩展接口(板载内存不涉及)≥2 个；主板支持USB瞬间过流保护；支持防静电保护功能；提供基于标准USB接口外设连接功能、基于音频输入输出接口的音频扩展功能、基于PCIe接口板卡扩展功能、基于HDMI或VGA或Type-C或DVI或 DP等接口外接显示器扩展功能、基于存储接口对产品进行增容功能等。产品I/O接口，应具备外接标准USB设备、显示器、音频设备等内外部设备能力。</w:t>
            </w:r>
          </w:p>
          <w:p w14:paraId="711BFE9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31.★显卡功能：显卡至少支持 VGA、HDMI、DVI、DP、Type-C 中 1 种显示接口，并与显示器接口相匹配。</w:t>
            </w:r>
          </w:p>
          <w:p w14:paraId="30DC392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32.★显示设备功能：显示器应与显卡外接显示接口匹配；显示器应提供显示器支架；显示器参数调节：a)提供 OSD 选单按钮用于调节色彩、模式等；b)支持色温、亮度、对比度调节。</w:t>
            </w:r>
          </w:p>
          <w:p w14:paraId="373D2E2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33.★存储功能：通过 SATA 固态存储/PCIe 固态存储/UFS 固态存储/SATA 硬磁盘等存储部件提供存储功能。</w:t>
            </w:r>
          </w:p>
          <w:p w14:paraId="08DD521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34.★网络设备功能：a)支持网络连接、网络开启/关闭功能；b)支持访问网络和数据交换功能。支持数据传输能力，并提供数据流量和异常日志记录功能。有线网卡接口类型：RJ45 接口。网络设备支持物理拆装，包括无线网卡和蓝牙模块等。</w:t>
            </w:r>
          </w:p>
          <w:p w14:paraId="72D73C3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35.★外部接口功能：音频接口类型支持3.5mm孔径 3 段式或 4 段式接口；视频接口类型至少支持 VGA、HDMI、DVI、DP、Type-C中 1 种显示接口；若提供 HDMI 或 DP 或 Type-C 作为显示接口，应支持音频和视频同步输出。</w:t>
            </w:r>
          </w:p>
          <w:p w14:paraId="2E6714B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36.★电源功能：电源适配器电线组件应符合 GB/T 15934 的要求，可拆线的插头和连接器可以不做要求。</w:t>
            </w:r>
          </w:p>
          <w:p w14:paraId="28F64D7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37.★操作系统及软件功能：中文信息处理要求符合 GB 18030 的相关规定；支持操作系统备份及还原功能；支持备份及还原固件的功能；支持通过网络、闪存盘等方式对操作系统、驱动进行升级；支持通过网络、闪存盘等方式对固件进行升级；支持 BIOS 关闭以太网及 USB 接口；支持查看固件版本、内存信息、主板信息、处理器信息和系统时间信息等功能；支持设置启动顺序功能，并按照设置的启动顺序启动；支持设置口令、修改口令、验证口令功能；支持网络引导启动和关闭功能。</w:t>
            </w:r>
          </w:p>
          <w:p w14:paraId="1837119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38.★存储设备可靠性：固态存储寿命TBW ≥80TB（条件：240GB 硬盘容量）；机械硬盘寿命：通电时间≥5万小时。</w:t>
            </w:r>
          </w:p>
          <w:p w14:paraId="55CD5FE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39.★显示设备可靠性：显示屏屏幕失效点符合 GB/T 9813.2 的要求。</w:t>
            </w:r>
          </w:p>
          <w:p w14:paraId="5C07BC5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40.★外设可靠性：键盘按键寿命≥1000万次；鼠标按键寿命≥500万次；键盘鼠标线材寿命：键盘鼠标所用线材经±60°弯折不低于3000次，功能、外观完好；风扇寿命≥4万小时。</w:t>
            </w:r>
          </w:p>
          <w:p w14:paraId="7349450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41.★整机可靠性要求：电磁兼容性要求的抗扰度符合GB/T 9254.2的规定；环境条件要求的气候环境适应性符合GB/T 9813.1中规定；环境条件要求的振动适应性符合 GB/T 9813.1中规定；环境条件要求的冲击适应性符合GB/T 9813.1中规定；环境条件要求的碰撞适应性符合GB/T 9813.1中规定；环境条件要求的运输包装件跌落适应性符合GB/T 9813.1中规定；MTBF(m1)≥3万小时。</w:t>
            </w:r>
          </w:p>
          <w:p w14:paraId="18F45ED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42.★兼容要求：支持流式软件、版式软件、浏览器、邮件采购人端、解压软件、多媒体、图形图像处理等常用软件；兼容 3 个及以上厂商的数据库产品；兼容 3 个及以上厂商中间件产品；兼容 3 个及以上厂商云计算及大数据平台。</w:t>
            </w:r>
          </w:p>
          <w:p w14:paraId="58ACA31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43.★包装及运输要求：符合 GB/T 9813.1 和商品包装政府采购需求标准的相关规定。</w:t>
            </w:r>
          </w:p>
          <w:p w14:paraId="54EDDA8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44.★配置检查工具：供应商提供自检测试工具。</w:t>
            </w:r>
          </w:p>
          <w:p w14:paraId="5995348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45.★服务响应：a)供应商提供电话、电子邮件、远程连接等多种形式服务；b)供应商提供同城 4h、异地 12h 技术响应服务，2 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14:paraId="73CA4CC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46.★服务周期：a) 设备停产后应继续提供质量保障服务（含备品备件），服务终止时间与最后一批设备交付时间间隔不低于6 年；b) 产品停止服务时间应提前 1 年告知；c) 应明确产品发布日期。</w:t>
            </w:r>
          </w:p>
          <w:p w14:paraId="218806F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47.★预装操作系统：预装符合桌面操作系统政府采购需求标准的正版操作系统。</w:t>
            </w:r>
          </w:p>
          <w:p w14:paraId="1F06C29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48.★培训服务：供应商提供培训材料、产品手册、培训视频等培训相关内容。</w:t>
            </w:r>
          </w:p>
          <w:p w14:paraId="076B316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49.★典型问题解决手册：供应商提供典型问题解决说明文档或视频。</w:t>
            </w:r>
          </w:p>
          <w:p w14:paraId="0EDB6EA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50.★厂家升级软件与扩容服务：供应商提供上门升级部件/软件与扩容的增值服务。</w:t>
            </w:r>
          </w:p>
          <w:p w14:paraId="38F57A7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51.★整机质量服务要求：免费服务周期（含换件和维修）应不小于3年。</w:t>
            </w:r>
          </w:p>
          <w:p w14:paraId="3BEC64D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52.★合格证书要求：供应商提供产品合格证。</w:t>
            </w:r>
          </w:p>
          <w:p w14:paraId="5A40F39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53.★开箱组装/使用指导要求：供应商提供开箱组装/使用指导。</w:t>
            </w:r>
          </w:p>
          <w:p w14:paraId="5F34124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54.★驱动下载服务要求：供应商提供驱动光盘或下载方式。</w:t>
            </w:r>
          </w:p>
          <w:p w14:paraId="53BED2B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55.★兼容适配软件下载服务要求：供应商提供兼容适配软件下载渠道（光盘、网站）。</w:t>
            </w:r>
          </w:p>
          <w:p w14:paraId="54F2C5D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56.★供应链合规性：供应商保障产品主要部件，提供6年的备件服务能力（自购买之日起），或提供可兼容原设备的升级换代产品。</w:t>
            </w:r>
          </w:p>
          <w:p w14:paraId="4DD3623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57.★抗干扰性：当产品部件出现供应风险时，供应商应通知采购人并提供风险应对方案确保产品的服务保障。</w:t>
            </w:r>
          </w:p>
          <w:p w14:paraId="64D3BC4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58.★供应能力证明：供应商提供供应链稳定承诺书，确保产品的部件在产品服务周期内稳定供货。</w:t>
            </w:r>
          </w:p>
          <w:p w14:paraId="00E6791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59.★关键部件安全要求：CPU 和操作系统等关键部件应当符合安全可靠测评要求。</w:t>
            </w:r>
          </w:p>
          <w:p w14:paraId="70A736C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60.★密码算法实现：CPU 芯片应符合 GM/T 0008 的相关规定，或芯片密码模块应符合 GB/T 37092或 GM/T 0028 的相关规定。</w:t>
            </w:r>
          </w:p>
          <w:p w14:paraId="054E70B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61.★信息安全基本要求：a) 产品应符合 GB/T 39276 的 5.2 的规定；b) 生产厂商应建立漏洞跟踪表，保证产品版本涉及到的漏洞(如驱动程序等)可查看；c) 产品不得包含已知的恶意代码或漏洞，不存在未声明的指令、功能、接口。</w:t>
            </w:r>
          </w:p>
          <w:p w14:paraId="6B18950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62.★固件安全启动：支持固件安全启动功能，固件启动过程中只有通过启动校验才能正常启动。</w:t>
            </w:r>
          </w:p>
          <w:p w14:paraId="5D5B084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63.★限用物质的限量要求：符合 GB/T 26572 中规定。</w:t>
            </w:r>
          </w:p>
        </w:tc>
        <w:tc>
          <w:tcPr>
            <w:tcW w:w="879" w:type="dxa"/>
            <w:shd w:val="clear" w:color="auto" w:fill="auto"/>
            <w:vAlign w:val="center"/>
          </w:tcPr>
          <w:p w14:paraId="369580F3">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9台</w:t>
            </w:r>
          </w:p>
        </w:tc>
      </w:tr>
      <w:tr w14:paraId="06DE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25" w:type="dxa"/>
            <w:gridSpan w:val="4"/>
            <w:shd w:val="clear" w:color="auto" w:fill="auto"/>
            <w:noWrap/>
            <w:vAlign w:val="center"/>
          </w:tcPr>
          <w:p w14:paraId="535A36D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（二）打印终端</w:t>
            </w:r>
          </w:p>
        </w:tc>
      </w:tr>
      <w:tr w14:paraId="1350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792" w:type="dxa"/>
            <w:shd w:val="clear" w:color="auto" w:fill="auto"/>
            <w:noWrap/>
            <w:vAlign w:val="center"/>
          </w:tcPr>
          <w:p w14:paraId="1EAFF11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p>
        </w:tc>
        <w:tc>
          <w:tcPr>
            <w:tcW w:w="1366" w:type="dxa"/>
            <w:shd w:val="clear" w:color="auto" w:fill="auto"/>
            <w:vAlign w:val="center"/>
          </w:tcPr>
          <w:p w14:paraId="3135885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激光打印机</w:t>
            </w:r>
          </w:p>
        </w:tc>
        <w:tc>
          <w:tcPr>
            <w:tcW w:w="5588" w:type="dxa"/>
            <w:shd w:val="clear" w:color="auto" w:fill="auto"/>
            <w:vAlign w:val="center"/>
          </w:tcPr>
          <w:p w14:paraId="59B137B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黑白激光打印机，最大幅面A4；</w:t>
            </w:r>
          </w:p>
          <w:p w14:paraId="25DE0C9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打印速度：≥22ppm；</w:t>
            </w:r>
          </w:p>
          <w:p w14:paraId="5EA4562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分辨率：≥1200*600dpi；</w:t>
            </w:r>
          </w:p>
          <w:p w14:paraId="17F3245A">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连接方式：支持‌USB和无线网络打印；</w:t>
            </w:r>
          </w:p>
          <w:p w14:paraId="192C3AD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兼容性：兼容Windows、国产操作系统（麒麟/统信等）。</w:t>
            </w:r>
          </w:p>
        </w:tc>
        <w:tc>
          <w:tcPr>
            <w:tcW w:w="879" w:type="dxa"/>
            <w:shd w:val="clear" w:color="auto" w:fill="auto"/>
            <w:vAlign w:val="center"/>
          </w:tcPr>
          <w:p w14:paraId="479D4A92">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168台</w:t>
            </w:r>
          </w:p>
        </w:tc>
      </w:tr>
      <w:tr w14:paraId="05A0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792" w:type="dxa"/>
            <w:shd w:val="clear" w:color="auto" w:fill="auto"/>
            <w:noWrap/>
            <w:vAlign w:val="center"/>
          </w:tcPr>
          <w:p w14:paraId="5B88752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p>
        </w:tc>
        <w:tc>
          <w:tcPr>
            <w:tcW w:w="1366" w:type="dxa"/>
            <w:shd w:val="clear" w:color="auto" w:fill="auto"/>
            <w:vAlign w:val="center"/>
          </w:tcPr>
          <w:p w14:paraId="0265FEC6">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针式打印机</w:t>
            </w:r>
          </w:p>
        </w:tc>
        <w:tc>
          <w:tcPr>
            <w:tcW w:w="5588" w:type="dxa"/>
            <w:shd w:val="clear" w:color="auto" w:fill="auto"/>
            <w:vAlign w:val="center"/>
          </w:tcPr>
          <w:p w14:paraId="062D2D20">
            <w:pPr>
              <w:pStyle w:val="19"/>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行宽：82列；</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打印方式：24针点阵式；</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纸张宽度：65-297mm；</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进纸方式：单页纸/连续纸；</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打印头寿命：≥4亿次/针；</w:t>
            </w:r>
          </w:p>
          <w:p w14:paraId="68238B4C">
            <w:pPr>
              <w:pStyle w:val="19"/>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兼容性：需兼容Windows、国产操作系统（麒麟/统信等）。</w:t>
            </w:r>
          </w:p>
        </w:tc>
        <w:tc>
          <w:tcPr>
            <w:tcW w:w="879" w:type="dxa"/>
            <w:shd w:val="clear" w:color="auto" w:fill="auto"/>
            <w:vAlign w:val="center"/>
          </w:tcPr>
          <w:p w14:paraId="2217C4F3">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10台</w:t>
            </w:r>
          </w:p>
        </w:tc>
      </w:tr>
      <w:tr w14:paraId="1DB1D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92" w:type="dxa"/>
            <w:shd w:val="clear" w:color="auto" w:fill="auto"/>
            <w:noWrap/>
            <w:vAlign w:val="center"/>
          </w:tcPr>
          <w:p w14:paraId="782C28B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p>
        </w:tc>
        <w:tc>
          <w:tcPr>
            <w:tcW w:w="1366" w:type="dxa"/>
            <w:shd w:val="clear" w:color="auto" w:fill="auto"/>
            <w:vAlign w:val="center"/>
          </w:tcPr>
          <w:p w14:paraId="2D4D097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彩色打印机</w:t>
            </w:r>
          </w:p>
        </w:tc>
        <w:tc>
          <w:tcPr>
            <w:tcW w:w="5588" w:type="dxa"/>
            <w:shd w:val="clear" w:color="auto" w:fill="auto"/>
            <w:vAlign w:val="center"/>
          </w:tcPr>
          <w:p w14:paraId="4112699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彩色墨仓式喷墨一体机（原产连供），最大幅面A4；</w:t>
            </w:r>
          </w:p>
          <w:p w14:paraId="7D5B528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打印速度：A4彩印≥5ipm，A4黑白≥8.5ipm；</w:t>
            </w:r>
          </w:p>
          <w:p w14:paraId="3AEA6DC5">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分辨率：≥4800*1200dpi；</w:t>
            </w:r>
          </w:p>
          <w:p w14:paraId="185A981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连接方式：支持无线网络，支持USB；</w:t>
            </w:r>
          </w:p>
          <w:p w14:paraId="7F9E8272">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功能：支持彩色打印、扫描、复印；</w:t>
            </w:r>
          </w:p>
          <w:p w14:paraId="5654249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兼容性：兼容Windows、国产操作系统（麒麟/统信等）。</w:t>
            </w:r>
          </w:p>
        </w:tc>
        <w:tc>
          <w:tcPr>
            <w:tcW w:w="879" w:type="dxa"/>
            <w:shd w:val="clear" w:color="auto" w:fill="auto"/>
            <w:vAlign w:val="center"/>
          </w:tcPr>
          <w:p w14:paraId="0297B1C7">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20台</w:t>
            </w:r>
          </w:p>
        </w:tc>
      </w:tr>
      <w:tr w14:paraId="141F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792" w:type="dxa"/>
            <w:shd w:val="clear" w:color="auto" w:fill="auto"/>
            <w:noWrap/>
            <w:vAlign w:val="center"/>
          </w:tcPr>
          <w:p w14:paraId="3627DDF0">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p>
        </w:tc>
        <w:tc>
          <w:tcPr>
            <w:tcW w:w="1366" w:type="dxa"/>
            <w:shd w:val="clear" w:color="auto" w:fill="auto"/>
            <w:vAlign w:val="center"/>
          </w:tcPr>
          <w:p w14:paraId="633706E8">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条码打印机</w:t>
            </w:r>
          </w:p>
        </w:tc>
        <w:tc>
          <w:tcPr>
            <w:tcW w:w="5588" w:type="dxa"/>
            <w:shd w:val="clear" w:color="auto" w:fill="auto"/>
            <w:vAlign w:val="center"/>
          </w:tcPr>
          <w:p w14:paraId="2ABE11E9">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打印方式：热敏打印；</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打印速度：≥152mm/s；</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打印分辨率：≥203DPI；</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接口类型：USB，支持选配WIFI/蓝牙；</w:t>
            </w:r>
            <w:r>
              <w:rPr>
                <w:rFonts w:hint="eastAsia" w:asciiTheme="minorEastAsia" w:hAnsiTheme="minorEastAsia" w:eastAsiaTheme="minorEastAsia" w:cstheme="minorEastAsia"/>
                <w:color w:val="auto"/>
                <w:sz w:val="24"/>
                <w:szCs w:val="24"/>
                <w:highlight w:val="none"/>
                <w:lang w:val="en-US" w:eastAsia="zh-CN"/>
              </w:rPr>
              <w:br w:type="textWrapping"/>
            </w:r>
            <w:r>
              <w:rPr>
                <w:rFonts w:hint="eastAsia" w:asciiTheme="minorEastAsia" w:hAnsiTheme="minorEastAsia" w:eastAsiaTheme="minorEastAsia" w:cstheme="minorEastAsia"/>
                <w:color w:val="auto"/>
                <w:sz w:val="24"/>
                <w:szCs w:val="24"/>
                <w:highlight w:val="none"/>
                <w:lang w:val="en-US" w:eastAsia="zh-CN"/>
              </w:rPr>
              <w:t>打印寿命：≥150KM；</w:t>
            </w:r>
          </w:p>
          <w:p w14:paraId="1E867DC7">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兼容性：需兼容Windows、国产操作系统（麒麟/统信等）。</w:t>
            </w:r>
          </w:p>
        </w:tc>
        <w:tc>
          <w:tcPr>
            <w:tcW w:w="879" w:type="dxa"/>
            <w:shd w:val="clear" w:color="auto" w:fill="auto"/>
            <w:vAlign w:val="center"/>
          </w:tcPr>
          <w:p w14:paraId="0B8C919C">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34台</w:t>
            </w:r>
          </w:p>
        </w:tc>
      </w:tr>
      <w:tr w14:paraId="52B1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792" w:type="dxa"/>
            <w:shd w:val="clear" w:color="auto" w:fill="auto"/>
            <w:noWrap/>
            <w:vAlign w:val="center"/>
          </w:tcPr>
          <w:p w14:paraId="44382A74">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366" w:type="dxa"/>
            <w:shd w:val="clear" w:color="auto" w:fill="auto"/>
            <w:vAlign w:val="center"/>
          </w:tcPr>
          <w:p w14:paraId="5FF3EBBF">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热敏打印机</w:t>
            </w:r>
          </w:p>
        </w:tc>
        <w:tc>
          <w:tcPr>
            <w:tcW w:w="5588" w:type="dxa"/>
            <w:shd w:val="clear" w:color="auto" w:fill="auto"/>
            <w:vAlign w:val="center"/>
          </w:tcPr>
          <w:p w14:paraId="31DC0FAE">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打印速度：≥152mm/s；</w:t>
            </w:r>
          </w:p>
          <w:p w14:paraId="657DF931">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打印分辨率：≥203DPI；</w:t>
            </w:r>
          </w:p>
          <w:p w14:paraId="2F022BEB">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接口类型：USB，支持选配WIFI/蓝牙；</w:t>
            </w:r>
          </w:p>
          <w:p w14:paraId="7F6892CC">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打印寿命：≥50KM；</w:t>
            </w:r>
          </w:p>
          <w:p w14:paraId="0D437C3D">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支持打印医疗腕带；</w:t>
            </w:r>
          </w:p>
          <w:p w14:paraId="61318D73">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兼容性：需兼容Windows、国产操作系统（麒麟/统信等）。</w:t>
            </w:r>
          </w:p>
        </w:tc>
        <w:tc>
          <w:tcPr>
            <w:tcW w:w="879" w:type="dxa"/>
            <w:shd w:val="clear" w:color="auto" w:fill="auto"/>
            <w:vAlign w:val="center"/>
          </w:tcPr>
          <w:p w14:paraId="1F961943">
            <w:pPr>
              <w:keepNext w:val="0"/>
              <w:keepLines w:val="0"/>
              <w:pageBreakBefore w:val="0"/>
              <w:widowControl/>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8台</w:t>
            </w:r>
          </w:p>
        </w:tc>
      </w:tr>
    </w:tbl>
    <w:p w14:paraId="797B095B">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终端设备数量测算以医院最终确认的需求表为准，采用“需求多少、配置多少”的方式进行建设。本项目不再按照比例增加备用设备，不设置额外库存数量。</w:t>
      </w:r>
    </w:p>
    <w:p w14:paraId="3F2695FE">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终端设备最终投资金额不宜在设计阶段机械沿用历史预算单价，而应结合项目采购时点的政府采购价格、集中采购平台价格、同类项目成交价格及经审定的预算编制依据重新测算。具体品牌、型号、成交单价和合同金额以依法依规履行采购程序后的结果为准。</w:t>
      </w:r>
    </w:p>
    <w:p w14:paraId="36604B8E">
      <w:pPr>
        <w:pStyle w:val="4"/>
        <w:rPr>
          <w:rFonts w:hint="eastAsia"/>
          <w:color w:val="auto"/>
          <w:highlight w:val="none"/>
        </w:rPr>
      </w:pPr>
      <w:r>
        <w:rPr>
          <w:rFonts w:hint="eastAsia"/>
          <w:color w:val="auto"/>
          <w:highlight w:val="none"/>
        </w:rPr>
        <w:t>技术参数与数量之间采用</w:t>
      </w:r>
      <w:r>
        <w:rPr>
          <w:rFonts w:hint="eastAsia"/>
          <w:color w:val="auto"/>
          <w:highlight w:val="none"/>
          <w:lang w:eastAsia="zh-CN"/>
        </w:rPr>
        <w:t>“</w:t>
      </w:r>
      <w:r>
        <w:rPr>
          <w:rFonts w:hint="eastAsia"/>
          <w:color w:val="auto"/>
          <w:highlight w:val="none"/>
        </w:rPr>
        <w:t>数量按需求表、性能按最低指标</w:t>
      </w:r>
      <w:r>
        <w:rPr>
          <w:rFonts w:hint="eastAsia"/>
          <w:color w:val="auto"/>
          <w:highlight w:val="none"/>
          <w:lang w:eastAsia="zh-CN"/>
        </w:rPr>
        <w:t>”</w:t>
      </w:r>
      <w:r>
        <w:rPr>
          <w:rFonts w:hint="eastAsia"/>
          <w:color w:val="auto"/>
          <w:highlight w:val="none"/>
        </w:rPr>
        <w:t>的双基准控制方式：需求表决定采购数量，技术参数决定单台设备最低能力，不以提高单台设备性能代替数量核定，也不以增加设备数量弥补性能不足。</w:t>
      </w:r>
    </w:p>
    <w:p w14:paraId="15A8B1CE">
      <w:pPr>
        <w:pStyle w:val="2"/>
        <w:bidi w:val="0"/>
        <w:ind w:left="432" w:leftChars="0" w:hanging="432" w:firstLineChars="0"/>
      </w:pPr>
      <w:bookmarkStart w:id="104" w:name="_Toc4596"/>
      <w:r>
        <w:rPr>
          <w:rFonts w:hint="eastAsia"/>
          <w:lang w:val="en-US" w:eastAsia="zh-CN"/>
        </w:rPr>
        <w:t>基础设施集成服务</w:t>
      </w:r>
      <w:bookmarkEnd w:id="104"/>
    </w:p>
    <w:p w14:paraId="044B011C">
      <w:pPr>
        <w:ind w:firstLine="480" w:firstLineChars="200"/>
        <w:rPr>
          <w:rFonts w:hint="default" w:ascii="宋体" w:hAnsi="宋体" w:eastAsia="宋体" w:cs="Times New Roman"/>
          <w:i w:val="0"/>
          <w:iCs w:val="0"/>
          <w:caps w:val="0"/>
          <w:color w:val="auto"/>
          <w:spacing w:val="0"/>
          <w:sz w:val="24"/>
          <w:szCs w:val="24"/>
          <w:highlight w:val="none"/>
          <w:shd w:val="clear"/>
          <w:lang w:val="en-US" w:eastAsia="zh-CN"/>
        </w:rPr>
      </w:pPr>
      <w:r>
        <w:rPr>
          <w:rFonts w:hint="eastAsia" w:ascii="宋体" w:hAnsi="宋体" w:eastAsia="宋体" w:cs="Times New Roman"/>
          <w:i w:val="0"/>
          <w:iCs w:val="0"/>
          <w:caps w:val="0"/>
          <w:color w:val="auto"/>
          <w:spacing w:val="0"/>
          <w:sz w:val="24"/>
          <w:szCs w:val="24"/>
          <w:highlight w:val="none"/>
          <w:shd w:val="clear"/>
          <w:lang w:val="en-US"/>
        </w:rPr>
        <w:t>为保障麻章区人民医院新建项目信息化建设高质量落地并平稳运行，本项目由集成服务商提供覆盖建设、交付、运维全过程的系统集成服务。集成服务贯穿项目全生命周期，统筹协调网络、云计算数据中心、网络安全、前置服务器、配套终端及各业务软件系统的建设实施，确保各子系统集成联动、协同运行，并建立完善的售后服务保障机制，为医院开业运营及长期信息化发展提供可靠支撑。</w:t>
      </w:r>
    </w:p>
    <w:p w14:paraId="613D1C1A">
      <w:pPr>
        <w:pStyle w:val="3"/>
        <w:bidi w:val="0"/>
        <w:ind w:left="575" w:leftChars="0" w:hanging="575" w:firstLineChars="0"/>
        <w:rPr>
          <w:rFonts w:hint="eastAsia"/>
        </w:rPr>
      </w:pPr>
      <w:r>
        <w:rPr>
          <w:rFonts w:hint="eastAsia"/>
          <w:lang w:val="en-US" w:eastAsia="zh-CN"/>
        </w:rPr>
        <w:t>系统集成服务</w:t>
      </w:r>
    </w:p>
    <w:p w14:paraId="1C52FD36">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提供整个项目系统集成服务，对网络系统、云计算数据中心、网络安全体系、前置服务器、配套终端及智慧医疗各业务软件系统进行统一规划、统一实施、统一调试与统一交付。集成服务涵盖设备到货验收、机柜上架安装、线缆敷设连接、软硬件安装部署、系统联调联试、数据初始化、上线切换及试运行保障等全过程，实现各子系统之间接口互通、数据联动、集中运维，确保HIS、LIS、PACS、EMR等核心业务系统在统一基础架构上稳定运行，避免系统信息孤岛。</w:t>
      </w:r>
    </w:p>
    <w:p w14:paraId="31F9C2AB">
      <w:pPr>
        <w:pStyle w:val="3"/>
        <w:bidi w:val="0"/>
        <w:ind w:left="575" w:leftChars="0" w:hanging="575" w:firstLineChars="0"/>
        <w:rPr>
          <w:rFonts w:hint="eastAsia"/>
        </w:rPr>
      </w:pPr>
      <w:r>
        <w:rPr>
          <w:rFonts w:hint="eastAsia"/>
          <w:lang w:val="en-US" w:eastAsia="zh-CN"/>
        </w:rPr>
        <w:t>项目管理服务</w:t>
      </w:r>
    </w:p>
    <w:p w14:paraId="57889FB0">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配置专职项目经理全程管理项目，负责项目整体统筹协调与全过程管控，全面跟进项目实施、项目交付以及项目后期维护。项目实施阶段，编制项目实施方案与进度计划，组织协调各专业实施团队，管控实施进度、质量、成本与风险，及时协调解决实施过程中的各类问题；项目交付阶段，组织系统测试、试运行与验收交付，整理移交项目文档资料，配合完成等级保护测评与整改；项目后期维护阶段，统筹维保服务资源，跟进系统运行情况，协调处理问题与优化需求，保障系统长期稳定运行。</w:t>
      </w:r>
    </w:p>
    <w:p w14:paraId="41886657">
      <w:pPr>
        <w:pStyle w:val="3"/>
        <w:bidi w:val="0"/>
        <w:ind w:left="575" w:leftChars="0" w:hanging="575" w:firstLineChars="0"/>
        <w:rPr>
          <w:rFonts w:hint="eastAsia"/>
        </w:rPr>
      </w:pPr>
      <w:r>
        <w:rPr>
          <w:rFonts w:hint="eastAsia"/>
          <w:lang w:val="en-US" w:eastAsia="zh-CN"/>
        </w:rPr>
        <w:t>机房配套综合布线服务</w:t>
      </w:r>
    </w:p>
    <w:p w14:paraId="4BEE6191">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提供机房配套综合布线服务，涵盖机房内部网络布线、光纤及铜缆敷设、配线架安装、跳线整理、线缆标签标识、链路测试与验收等全部内容。综合布线服务严格按照相关标准规范实施，合理规划线缆路由与桥架，确保机房布线整洁规范、层次清晰、扩展方便，链路性能满足万兆网络传输及业务扩容需要，为数据中心长期稳定运行奠定基础。</w:t>
      </w:r>
    </w:p>
    <w:p w14:paraId="272FD2F2">
      <w:pPr>
        <w:pStyle w:val="3"/>
        <w:bidi w:val="0"/>
        <w:ind w:left="575" w:leftChars="0" w:hanging="575" w:firstLineChars="0"/>
        <w:rPr>
          <w:rFonts w:hint="eastAsia"/>
        </w:rPr>
      </w:pPr>
      <w:r>
        <w:rPr>
          <w:rFonts w:hint="eastAsia"/>
          <w:lang w:val="en-US" w:eastAsia="zh-CN"/>
        </w:rPr>
        <w:t>等级保护整改配合服务</w:t>
      </w:r>
    </w:p>
    <w:p w14:paraId="7ADCFDD8">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配合完成等级保护测评整改工作。根据等级保护测评要求与测评机构出具的整改意见，配合医院完成安全设备配置优化、软件漏洞修复、安全策略加固、安全配置整改等软硬件全方位整改内容，实现“建设、测评、整改”同步推进，保障各定级系统建成后一次性满足等级保护合规要求，避免项目建成后因安全配置不完善而重复投入整改。</w:t>
      </w:r>
    </w:p>
    <w:p w14:paraId="17405D2D">
      <w:pPr>
        <w:pStyle w:val="3"/>
        <w:bidi w:val="0"/>
        <w:ind w:left="575" w:leftChars="0" w:hanging="575" w:firstLineChars="0"/>
        <w:rPr>
          <w:rFonts w:hint="eastAsia"/>
        </w:rPr>
      </w:pPr>
      <w:r>
        <w:rPr>
          <w:rFonts w:hint="eastAsia"/>
          <w:lang w:val="en-US" w:eastAsia="zh-CN"/>
        </w:rPr>
        <w:t>上门维保服务</w:t>
      </w:r>
    </w:p>
    <w:p w14:paraId="5D066964">
      <w:pPr>
        <w:keepNext w:val="0"/>
        <w:keepLines w:val="0"/>
        <w:pageBreakBefore w:val="0"/>
        <w:widowControl/>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提供自验收交付之日起三年的上门维保服务。维保期内，对项目涉及的服务器、存储、网络、安全等硬件设备及机房基础设施提供定期巡检、故障响应、上门维修、备件更换等维保服务；对业务软件系统提供运维保障与技术支撑。服务期内实行7×24小时电话响应，快速受理并处置各类故障，优先保障门诊、住院、检验、影像等核心业务稳定运行，保障医院业务系统长期安全、稳定、可靠运行。</w:t>
      </w:r>
    </w:p>
    <w:p w14:paraId="1BB22346">
      <w:pPr>
        <w:rPr>
          <w:color w:val="auto"/>
          <w:highlight w:val="none"/>
        </w:rPr>
      </w:pPr>
      <w:bookmarkStart w:id="105" w:name="_Toc2913"/>
      <w:bookmarkStart w:id="106" w:name="_Toc3226"/>
      <w:bookmarkStart w:id="107" w:name="_Toc18402"/>
      <w:bookmarkStart w:id="108" w:name="_Toc10070"/>
      <w:bookmarkStart w:id="109" w:name="_Toc122040102"/>
      <w:bookmarkStart w:id="110" w:name="_Toc157464452"/>
      <w:r>
        <w:rPr>
          <w:rFonts w:hint="eastAsia"/>
          <w:color w:val="auto"/>
          <w:highlight w:val="none"/>
        </w:rPr>
        <w:br w:type="page"/>
      </w:r>
    </w:p>
    <w:p w14:paraId="11D26506">
      <w:pPr>
        <w:pStyle w:val="2"/>
        <w:bidi w:val="0"/>
      </w:pPr>
      <w:r>
        <w:rPr>
          <w:rFonts w:hint="eastAsia"/>
        </w:rPr>
        <w:t>项目总投资</w:t>
      </w:r>
      <w:bookmarkEnd w:id="105"/>
      <w:bookmarkEnd w:id="106"/>
      <w:r>
        <w:rPr>
          <w:rFonts w:hint="eastAsia"/>
        </w:rPr>
        <w:t>预算</w:t>
      </w:r>
      <w:bookmarkEnd w:id="107"/>
      <w:bookmarkEnd w:id="108"/>
      <w:bookmarkEnd w:id="109"/>
      <w:bookmarkEnd w:id="110"/>
    </w:p>
    <w:tbl>
      <w:tblPr>
        <w:tblStyle w:val="15"/>
        <w:tblW w:w="8071"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5"/>
        <w:gridCol w:w="3034"/>
        <w:gridCol w:w="2411"/>
        <w:gridCol w:w="1691"/>
      </w:tblGrid>
      <w:tr w14:paraId="0340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4C9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3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146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名称及类别</w:t>
            </w:r>
          </w:p>
        </w:tc>
        <w:tc>
          <w:tcPr>
            <w:tcW w:w="2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E60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金额（元）</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193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75985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59A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999F">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基础设施服务</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66B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6,149,900.00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3D93">
            <w:pPr>
              <w:rPr>
                <w:rFonts w:hint="eastAsia" w:ascii="宋体" w:hAnsi="宋体" w:eastAsia="宋体" w:cs="宋体"/>
                <w:b/>
                <w:bCs/>
                <w:i w:val="0"/>
                <w:iCs w:val="0"/>
                <w:color w:val="auto"/>
                <w:sz w:val="24"/>
                <w:szCs w:val="24"/>
                <w:highlight w:val="none"/>
                <w:u w:val="none"/>
              </w:rPr>
            </w:pPr>
          </w:p>
        </w:tc>
      </w:tr>
      <w:tr w14:paraId="613F3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2EC5">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.1</w:t>
            </w:r>
          </w:p>
        </w:tc>
        <w:tc>
          <w:tcPr>
            <w:tcW w:w="3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D5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智慧医疗系统配套软件</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3D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490,500.00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15F1">
            <w:pPr>
              <w:rPr>
                <w:rFonts w:hint="eastAsia" w:ascii="宋体" w:hAnsi="宋体" w:eastAsia="宋体" w:cs="宋体"/>
                <w:b/>
                <w:bCs/>
                <w:i w:val="0"/>
                <w:iCs w:val="0"/>
                <w:color w:val="auto"/>
                <w:sz w:val="24"/>
                <w:szCs w:val="24"/>
                <w:highlight w:val="none"/>
                <w:u w:val="none"/>
              </w:rPr>
            </w:pPr>
          </w:p>
        </w:tc>
      </w:tr>
      <w:tr w14:paraId="7E58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D25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.2</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92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云计算数据中心</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DA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2,689,840.00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D505">
            <w:pPr>
              <w:rPr>
                <w:rFonts w:hint="eastAsia" w:ascii="宋体" w:hAnsi="宋体" w:eastAsia="宋体" w:cs="宋体"/>
                <w:b/>
                <w:bCs/>
                <w:i w:val="0"/>
                <w:iCs w:val="0"/>
                <w:color w:val="auto"/>
                <w:sz w:val="24"/>
                <w:szCs w:val="24"/>
                <w:highlight w:val="none"/>
                <w:u w:val="none"/>
              </w:rPr>
            </w:pPr>
          </w:p>
        </w:tc>
      </w:tr>
      <w:tr w14:paraId="6C16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E81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.3</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FE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前置服务器资源</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A37B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255,000.00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5993">
            <w:pPr>
              <w:rPr>
                <w:rFonts w:hint="eastAsia" w:ascii="宋体" w:hAnsi="宋体" w:eastAsia="宋体" w:cs="宋体"/>
                <w:b/>
                <w:bCs/>
                <w:i w:val="0"/>
                <w:iCs w:val="0"/>
                <w:color w:val="auto"/>
                <w:sz w:val="24"/>
                <w:szCs w:val="24"/>
                <w:highlight w:val="none"/>
                <w:u w:val="none"/>
              </w:rPr>
            </w:pPr>
          </w:p>
        </w:tc>
      </w:tr>
      <w:tr w14:paraId="13153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75A7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.4</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DE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网络改造建设</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604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178,260.00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958D">
            <w:pPr>
              <w:rPr>
                <w:rFonts w:hint="eastAsia" w:ascii="宋体" w:hAnsi="宋体" w:eastAsia="宋体" w:cs="宋体"/>
                <w:b/>
                <w:bCs/>
                <w:i w:val="0"/>
                <w:iCs w:val="0"/>
                <w:color w:val="auto"/>
                <w:sz w:val="24"/>
                <w:szCs w:val="24"/>
                <w:highlight w:val="none"/>
                <w:u w:val="none"/>
              </w:rPr>
            </w:pPr>
          </w:p>
        </w:tc>
      </w:tr>
      <w:tr w14:paraId="67EA7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18694">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.5</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00A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网络安全建设</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A6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812,500.00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C178">
            <w:pPr>
              <w:rPr>
                <w:rFonts w:hint="eastAsia" w:ascii="宋体" w:hAnsi="宋体" w:eastAsia="宋体" w:cs="宋体"/>
                <w:b/>
                <w:bCs/>
                <w:i w:val="0"/>
                <w:iCs w:val="0"/>
                <w:color w:val="auto"/>
                <w:sz w:val="24"/>
                <w:szCs w:val="24"/>
                <w:highlight w:val="none"/>
                <w:u w:val="none"/>
              </w:rPr>
            </w:pPr>
          </w:p>
        </w:tc>
      </w:tr>
      <w:tr w14:paraId="6AE6E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80DE6">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.6</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AC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配套终端设备建设</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EEC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1,528,800.00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F329">
            <w:pPr>
              <w:rPr>
                <w:rFonts w:hint="eastAsia" w:ascii="宋体" w:hAnsi="宋体" w:eastAsia="宋体" w:cs="宋体"/>
                <w:b/>
                <w:bCs/>
                <w:i w:val="0"/>
                <w:iCs w:val="0"/>
                <w:color w:val="auto"/>
                <w:sz w:val="24"/>
                <w:szCs w:val="24"/>
                <w:highlight w:val="none"/>
                <w:u w:val="none"/>
              </w:rPr>
            </w:pPr>
          </w:p>
        </w:tc>
      </w:tr>
      <w:tr w14:paraId="10549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827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cs="宋体"/>
                <w:b/>
                <w:bCs/>
                <w:i w:val="0"/>
                <w:iCs w:val="0"/>
                <w:color w:val="auto"/>
                <w:kern w:val="0"/>
                <w:sz w:val="24"/>
                <w:szCs w:val="24"/>
                <w:highlight w:val="none"/>
                <w:u w:val="none"/>
                <w:lang w:val="en-US" w:eastAsia="zh-CN" w:bidi="ar"/>
              </w:rPr>
              <w:t>1</w:t>
            </w:r>
            <w:r>
              <w:rPr>
                <w:rFonts w:hint="eastAsia" w:ascii="宋体" w:hAnsi="宋体" w:eastAsia="宋体" w:cs="宋体"/>
                <w:b/>
                <w:bCs/>
                <w:i w:val="0"/>
                <w:iCs w:val="0"/>
                <w:color w:val="auto"/>
                <w:kern w:val="0"/>
                <w:sz w:val="24"/>
                <w:szCs w:val="24"/>
                <w:highlight w:val="none"/>
                <w:u w:val="none"/>
                <w:lang w:val="en-US" w:eastAsia="zh-CN" w:bidi="ar"/>
              </w:rPr>
              <w:t>.7</w:t>
            </w:r>
          </w:p>
        </w:tc>
        <w:tc>
          <w:tcPr>
            <w:tcW w:w="3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27E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集成服务</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50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195,000.00</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DDB7">
            <w:pPr>
              <w:jc w:val="left"/>
              <w:rPr>
                <w:rFonts w:hint="eastAsia" w:ascii="宋体" w:hAnsi="宋体" w:eastAsia="宋体" w:cs="宋体"/>
                <w:i w:val="0"/>
                <w:iCs w:val="0"/>
                <w:color w:val="auto"/>
                <w:sz w:val="24"/>
                <w:szCs w:val="24"/>
                <w:highlight w:val="none"/>
                <w:u w:val="none"/>
              </w:rPr>
            </w:pPr>
          </w:p>
        </w:tc>
      </w:tr>
    </w:tbl>
    <w:p w14:paraId="416849A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rli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24F532"/>
    <w:multiLevelType w:val="singleLevel"/>
    <w:tmpl w:val="B324F532"/>
    <w:lvl w:ilvl="0" w:tentative="0">
      <w:start w:val="1"/>
      <w:numFmt w:val="bullet"/>
      <w:lvlText w:val=""/>
      <w:lvlJc w:val="left"/>
      <w:pPr>
        <w:ind w:left="420" w:hanging="420"/>
      </w:pPr>
      <w:rPr>
        <w:rFonts w:hint="default" w:ascii="Wingdings" w:hAnsi="Wingdings"/>
      </w:rPr>
    </w:lvl>
  </w:abstractNum>
  <w:abstractNum w:abstractNumId="1">
    <w:nsid w:val="B73FF13B"/>
    <w:multiLevelType w:val="multilevel"/>
    <w:tmpl w:val="B73FF13B"/>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8"/>
      <w:lvlText w:val="%1.%2.%3.%4."/>
      <w:lvlJc w:val="left"/>
      <w:pPr>
        <w:ind w:left="864" w:hanging="864"/>
      </w:pPr>
      <w:rPr>
        <w:rFonts w:hint="default"/>
      </w:rPr>
    </w:lvl>
    <w:lvl w:ilvl="4" w:tentative="0">
      <w:start w:val="1"/>
      <w:numFmt w:val="decimal"/>
      <w:pStyle w:val="9"/>
      <w:lvlText w:val="%1.%2.%3.%4.%5."/>
      <w:lvlJc w:val="left"/>
      <w:pPr>
        <w:ind w:left="1008" w:hanging="1008"/>
      </w:pPr>
      <w:rPr>
        <w:rFonts w:hint="default"/>
      </w:rPr>
    </w:lvl>
    <w:lvl w:ilvl="5" w:tentative="0">
      <w:start w:val="1"/>
      <w:numFmt w:val="decimal"/>
      <w:pStyle w:val="10"/>
      <w:lvlText w:val="%1.%2.%3.%4.%5.%6."/>
      <w:lvlJc w:val="left"/>
      <w:pPr>
        <w:ind w:left="1151" w:hanging="1151"/>
      </w:pPr>
      <w:rPr>
        <w:rFonts w:hint="default"/>
      </w:rPr>
    </w:lvl>
    <w:lvl w:ilvl="6" w:tentative="0">
      <w:start w:val="1"/>
      <w:numFmt w:val="decimal"/>
      <w:pStyle w:val="11"/>
      <w:lvlText w:val="%1.%2.%3.%4.%5.%6.%7."/>
      <w:lvlJc w:val="left"/>
      <w:pPr>
        <w:ind w:left="1296" w:hanging="1296"/>
      </w:pPr>
      <w:rPr>
        <w:rFonts w:hint="default"/>
      </w:rPr>
    </w:lvl>
    <w:lvl w:ilvl="7" w:tentative="0">
      <w:start w:val="1"/>
      <w:numFmt w:val="decimal"/>
      <w:pStyle w:val="12"/>
      <w:lvlText w:val="%1.%2.%3.%4.%5.%6.%7.%8."/>
      <w:lvlJc w:val="left"/>
      <w:pPr>
        <w:ind w:left="1440" w:hanging="1440"/>
      </w:pPr>
      <w:rPr>
        <w:rFonts w:hint="default"/>
      </w:rPr>
    </w:lvl>
    <w:lvl w:ilvl="8" w:tentative="0">
      <w:start w:val="1"/>
      <w:numFmt w:val="decimal"/>
      <w:pStyle w:val="13"/>
      <w:lvlText w:val="%1.%2.%3.%4.%5.%6.%7.%8.%9."/>
      <w:lvlJc w:val="left"/>
      <w:pPr>
        <w:ind w:left="1583" w:hanging="1583"/>
      </w:pPr>
      <w:rPr>
        <w:rFonts w:hint="default"/>
      </w:rPr>
    </w:lvl>
  </w:abstractNum>
  <w:abstractNum w:abstractNumId="2">
    <w:nsid w:val="D421D41C"/>
    <w:multiLevelType w:val="singleLevel"/>
    <w:tmpl w:val="D421D41C"/>
    <w:lvl w:ilvl="0" w:tentative="0">
      <w:start w:val="1"/>
      <w:numFmt w:val="decimal"/>
      <w:lvlText w:val="%1."/>
      <w:lvlJc w:val="left"/>
      <w:pPr>
        <w:tabs>
          <w:tab w:val="left" w:pos="312"/>
        </w:tabs>
      </w:pPr>
    </w:lvl>
  </w:abstractNum>
  <w:abstractNum w:abstractNumId="3">
    <w:nsid w:val="D4E5258F"/>
    <w:multiLevelType w:val="singleLevel"/>
    <w:tmpl w:val="D4E5258F"/>
    <w:lvl w:ilvl="0" w:tentative="0">
      <w:start w:val="1"/>
      <w:numFmt w:val="bullet"/>
      <w:lvlText w:val=""/>
      <w:lvlJc w:val="left"/>
      <w:pPr>
        <w:ind w:left="420" w:hanging="420"/>
      </w:pPr>
      <w:rPr>
        <w:rFonts w:hint="default" w:ascii="Wingdings" w:hAnsi="Wingdings"/>
      </w:rPr>
    </w:lvl>
  </w:abstractNum>
  <w:abstractNum w:abstractNumId="4">
    <w:nsid w:val="DF7E3780"/>
    <w:multiLevelType w:val="singleLevel"/>
    <w:tmpl w:val="DF7E3780"/>
    <w:lvl w:ilvl="0" w:tentative="0">
      <w:start w:val="1"/>
      <w:numFmt w:val="decimal"/>
      <w:lvlText w:val="(%1)"/>
      <w:lvlJc w:val="left"/>
      <w:pPr>
        <w:ind w:left="425" w:hanging="425"/>
      </w:pPr>
      <w:rPr>
        <w:rFonts w:hint="default"/>
      </w:rPr>
    </w:lvl>
  </w:abstractNum>
  <w:abstractNum w:abstractNumId="5">
    <w:nsid w:val="E444A0D7"/>
    <w:multiLevelType w:val="singleLevel"/>
    <w:tmpl w:val="E444A0D7"/>
    <w:lvl w:ilvl="0" w:tentative="0">
      <w:start w:val="1"/>
      <w:numFmt w:val="decimal"/>
      <w:lvlText w:val="%1)"/>
      <w:lvlJc w:val="left"/>
      <w:pPr>
        <w:ind w:left="425" w:hanging="425"/>
      </w:pPr>
      <w:rPr>
        <w:rFonts w:hint="default"/>
      </w:rPr>
    </w:lvl>
  </w:abstractNum>
  <w:abstractNum w:abstractNumId="6">
    <w:nsid w:val="21057001"/>
    <w:multiLevelType w:val="singleLevel"/>
    <w:tmpl w:val="21057001"/>
    <w:lvl w:ilvl="0" w:tentative="0">
      <w:start w:val="1"/>
      <w:numFmt w:val="decimal"/>
      <w:suff w:val="space"/>
      <w:lvlText w:val="(%1)"/>
      <w:lvlJc w:val="left"/>
      <w:pPr>
        <w:ind w:left="425" w:hanging="425"/>
      </w:pPr>
      <w:rPr>
        <w:rFonts w:hint="default" w:ascii="宋体" w:hAnsi="宋体" w:eastAsia="宋体" w:cs="宋体"/>
        <w:sz w:val="24"/>
        <w:szCs w:val="24"/>
      </w:rPr>
    </w:lvl>
  </w:abstractNum>
  <w:abstractNum w:abstractNumId="7">
    <w:nsid w:val="493C4FD0"/>
    <w:multiLevelType w:val="singleLevel"/>
    <w:tmpl w:val="493C4FD0"/>
    <w:lvl w:ilvl="0" w:tentative="0">
      <w:start w:val="1"/>
      <w:numFmt w:val="decimal"/>
      <w:suff w:val="space"/>
      <w:lvlText w:val="(%1)"/>
      <w:lvlJc w:val="left"/>
      <w:pPr>
        <w:ind w:left="425" w:hanging="425"/>
      </w:pPr>
      <w:rPr>
        <w:rFonts w:hint="default" w:ascii="宋体" w:hAnsi="宋体" w:eastAsia="宋体" w:cs="宋体"/>
        <w:sz w:val="24"/>
        <w:szCs w:val="24"/>
      </w:rPr>
    </w:lvl>
  </w:abstractNum>
  <w:abstractNum w:abstractNumId="8">
    <w:nsid w:val="540D7659"/>
    <w:multiLevelType w:val="singleLevel"/>
    <w:tmpl w:val="540D7659"/>
    <w:lvl w:ilvl="0" w:tentative="0">
      <w:start w:val="1"/>
      <w:numFmt w:val="decimal"/>
      <w:suff w:val="space"/>
      <w:lvlText w:val="(%1)"/>
      <w:lvlJc w:val="left"/>
      <w:pPr>
        <w:ind w:left="425" w:hanging="425"/>
      </w:pPr>
      <w:rPr>
        <w:rFonts w:hint="default" w:ascii="宋体" w:hAnsi="宋体" w:eastAsia="宋体" w:cs="宋体"/>
        <w:sz w:val="24"/>
        <w:szCs w:val="24"/>
      </w:rPr>
    </w:lvl>
  </w:abstractNum>
  <w:abstractNum w:abstractNumId="9">
    <w:nsid w:val="690D669D"/>
    <w:multiLevelType w:val="multilevel"/>
    <w:tmpl w:val="690D669D"/>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2"/>
  </w:num>
  <w:num w:numId="3">
    <w:abstractNumId w:val="3"/>
  </w:num>
  <w:num w:numId="4">
    <w:abstractNumId w:val="4"/>
  </w:num>
  <w:num w:numId="5">
    <w:abstractNumId w:val="5"/>
  </w:num>
  <w:num w:numId="6">
    <w:abstractNumId w:val="0"/>
  </w:num>
  <w:num w:numId="7">
    <w:abstractNumId w:val="9"/>
  </w:num>
  <w:num w:numId="8">
    <w:abstractNumId w:val="8"/>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B6BC5"/>
    <w:rsid w:val="2A7214CA"/>
    <w:rsid w:val="2FEE640C"/>
    <w:rsid w:val="41226F7A"/>
    <w:rsid w:val="41C01947"/>
    <w:rsid w:val="46384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Times New Roman" w:hAnsi="Times New Roman" w:eastAsia="宋体" w:cs="Times New Roman"/>
      <w:sz w:val="24"/>
      <w:szCs w:val="24"/>
      <w:lang w:val="en-GB"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ind w:left="432" w:hanging="432"/>
      <w:outlineLvl w:val="0"/>
    </w:pPr>
    <w:rPr>
      <w:b/>
      <w:kern w:val="44"/>
      <w:sz w:val="44"/>
    </w:rPr>
  </w:style>
  <w:style w:type="paragraph" w:styleId="3">
    <w:name w:val="heading 2"/>
    <w:basedOn w:val="1"/>
    <w:next w:val="4"/>
    <w:qFormat/>
    <w:uiPriority w:val="0"/>
    <w:pPr>
      <w:keepNext/>
      <w:keepLines/>
      <w:numPr>
        <w:ilvl w:val="1"/>
        <w:numId w:val="1"/>
      </w:numPr>
      <w:tabs>
        <w:tab w:val="left" w:pos="420"/>
      </w:tabs>
      <w:adjustRightInd w:val="0"/>
      <w:snapToGrid w:val="0"/>
      <w:spacing w:before="100" w:beforeLines="100" w:after="100" w:afterLines="100" w:line="240" w:lineRule="auto"/>
      <w:ind w:left="575" w:hanging="575"/>
      <w:outlineLvl w:val="1"/>
    </w:pPr>
    <w:rPr>
      <w:rFonts w:ascii="Times New Roman" w:hAnsi="Times New Roman" w:eastAsia="黑体" w:cs="Times New Roman"/>
      <w:b/>
      <w:sz w:val="32"/>
      <w:szCs w:val="32"/>
    </w:rPr>
  </w:style>
  <w:style w:type="paragraph" w:styleId="5">
    <w:name w:val="heading 3"/>
    <w:basedOn w:val="1"/>
    <w:next w:val="6"/>
    <w:qFormat/>
    <w:uiPriority w:val="0"/>
    <w:pPr>
      <w:keepNext/>
      <w:keepLines/>
      <w:numPr>
        <w:ilvl w:val="2"/>
        <w:numId w:val="1"/>
      </w:numPr>
      <w:spacing w:before="50" w:beforeLines="50" w:after="50" w:afterLines="50" w:line="240" w:lineRule="auto"/>
      <w:outlineLvl w:val="2"/>
    </w:pPr>
    <w:rPr>
      <w:rFonts w:ascii="Times New Roman" w:hAnsi="Times New Roman" w:eastAsia="黑体" w:cs="Times New Roman"/>
      <w:b/>
      <w:color w:val="000000" w:themeColor="text1"/>
      <w:sz w:val="30"/>
      <w:szCs w:val="30"/>
      <w:lang w:val="en-US"/>
      <w14:textFill>
        <w14:solidFill>
          <w14:schemeClr w14:val="tx1"/>
        </w14:solidFill>
      </w14:textFill>
    </w:rPr>
  </w:style>
  <w:style w:type="paragraph" w:styleId="8">
    <w:name w:val="heading 4"/>
    <w:basedOn w:val="1"/>
    <w:next w:val="1"/>
    <w:qFormat/>
    <w:uiPriority w:val="0"/>
    <w:pPr>
      <w:keepNext/>
      <w:keepLines/>
      <w:numPr>
        <w:ilvl w:val="3"/>
        <w:numId w:val="1"/>
      </w:numPr>
      <w:adjustRightInd w:val="0"/>
      <w:spacing w:before="50" w:beforeLines="50" w:after="50" w:afterLines="50" w:line="240" w:lineRule="auto"/>
      <w:outlineLvl w:val="3"/>
    </w:pPr>
    <w:rPr>
      <w:rFonts w:ascii="Times New Roman" w:hAnsi="Times New Roman" w:eastAsia="黑体"/>
      <w:b/>
      <w:bCs/>
      <w:sz w:val="28"/>
      <w:szCs w:val="28"/>
      <w:lang w:val="en-US"/>
    </w:rPr>
  </w:style>
  <w:style w:type="paragraph" w:styleId="9">
    <w:name w:val="heading 5"/>
    <w:basedOn w:val="1"/>
    <w:next w:val="1"/>
    <w:qFormat/>
    <w:uiPriority w:val="0"/>
    <w:pPr>
      <w:keepNext/>
      <w:keepLines/>
      <w:numPr>
        <w:ilvl w:val="4"/>
        <w:numId w:val="1"/>
      </w:numPr>
      <w:spacing w:before="75" w:beforeLines="75" w:after="50" w:afterLines="50" w:line="240" w:lineRule="auto"/>
      <w:outlineLvl w:val="4"/>
    </w:pPr>
    <w:rPr>
      <w:rFonts w:ascii="Times New Roman" w:hAnsi="Times New Roman" w:eastAsia="黑体"/>
      <w:b/>
      <w:bCs/>
      <w:sz w:val="24"/>
      <w:szCs w:val="24"/>
      <w:lang w:val="en-US"/>
    </w:rPr>
  </w:style>
  <w:style w:type="paragraph" w:styleId="10">
    <w:name w:val="heading 6"/>
    <w:basedOn w:val="1"/>
    <w:next w:val="1"/>
    <w:qFormat/>
    <w:uiPriority w:val="0"/>
    <w:pPr>
      <w:keepNext/>
      <w:keepLines/>
      <w:numPr>
        <w:ilvl w:val="5"/>
        <w:numId w:val="1"/>
      </w:numPr>
      <w:spacing w:before="50" w:beforeLines="50" w:after="50" w:afterLines="50" w:line="240" w:lineRule="auto"/>
      <w:ind w:left="1151" w:hanging="1151"/>
      <w:outlineLvl w:val="5"/>
    </w:pPr>
    <w:rPr>
      <w:rFonts w:ascii="Times New Roman" w:hAnsi="Times New Roman" w:eastAsia="黑体"/>
      <w:b/>
      <w:bCs/>
      <w:lang w:val="en-US"/>
    </w:rPr>
  </w:style>
  <w:style w:type="paragraph" w:styleId="11">
    <w:name w:val="heading 7"/>
    <w:basedOn w:val="1"/>
    <w:next w:val="1"/>
    <w:qFormat/>
    <w:uiPriority w:val="0"/>
    <w:pPr>
      <w:keepNext/>
      <w:keepLines/>
      <w:numPr>
        <w:ilvl w:val="6"/>
        <w:numId w:val="1"/>
      </w:numPr>
      <w:spacing w:before="120" w:after="120" w:line="240" w:lineRule="auto"/>
      <w:ind w:left="1296" w:hanging="1296"/>
      <w:outlineLvl w:val="6"/>
    </w:pPr>
    <w:rPr>
      <w:rFonts w:ascii="Times New Roman" w:hAnsi="Times New Roman" w:eastAsia="黑体"/>
      <w:b/>
      <w:bCs/>
    </w:rPr>
  </w:style>
  <w:style w:type="paragraph" w:styleId="12">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3">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djustRightInd w:val="0"/>
      <w:snapToGrid w:val="0"/>
      <w:ind w:firstLine="200" w:firstLineChars="200"/>
      <w:jc w:val="both"/>
    </w:pPr>
    <w:rPr>
      <w:rFonts w:hAnsi="华文细黑" w:asciiTheme="minorEastAsia" w:eastAsiaTheme="minorEastAsia"/>
      <w:lang w:val="en-US"/>
    </w:rPr>
  </w:style>
  <w:style w:type="paragraph" w:styleId="6">
    <w:name w:val="Body Text First Indent"/>
    <w:basedOn w:val="7"/>
    <w:qFormat/>
    <w:uiPriority w:val="0"/>
    <w:pPr>
      <w:spacing w:line="240" w:lineRule="auto"/>
      <w:ind w:firstLine="420" w:firstLineChars="100"/>
    </w:pPr>
    <w:rPr>
      <w:sz w:val="21"/>
      <w:szCs w:val="21"/>
    </w:rPr>
  </w:style>
  <w:style w:type="paragraph" w:styleId="7">
    <w:name w:val="Body Text"/>
    <w:basedOn w:val="1"/>
    <w:unhideWhenUsed/>
    <w:qFormat/>
    <w:uiPriority w:val="0"/>
    <w:pPr>
      <w:widowControl w:val="0"/>
      <w:spacing w:after="120"/>
      <w:ind w:firstLine="200" w:firstLineChars="200"/>
      <w:jc w:val="both"/>
    </w:pPr>
    <w:rPr>
      <w:rFonts w:ascii="Arial" w:hAnsi="Arial" w:cs="宋体"/>
      <w:kern w:val="2"/>
      <w:szCs w:val="20"/>
      <w:lang w:val="en-US"/>
    </w:rPr>
  </w:style>
  <w:style w:type="paragraph" w:styleId="14">
    <w:name w:val="Normal (Web)"/>
    <w:basedOn w:val="1"/>
    <w:unhideWhenUsed/>
    <w:qFormat/>
    <w:uiPriority w:val="99"/>
    <w:pPr>
      <w:spacing w:before="100" w:beforeAutospacing="1" w:after="100" w:afterAutospacing="1" w:line="240" w:lineRule="auto"/>
    </w:pPr>
    <w:rPr>
      <w:rFonts w:ascii="宋体" w:hAnsi="宋体" w:cs="宋体"/>
      <w:lang w:val="en-US"/>
    </w:rPr>
  </w:style>
  <w:style w:type="table" w:styleId="16">
    <w:name w:val="Table Grid"/>
    <w:basedOn w:val="15"/>
    <w:qFormat/>
    <w:uiPriority w:val="0"/>
    <w:pPr>
      <w:widowControl w:val="0"/>
      <w:spacing w:beforeLines="50" w:afterLines="50"/>
      <w:jc w:val="both"/>
    </w:pPr>
    <w:rPr>
      <w:rFonts w:ascii="Arial" w:hAnsi="Arial"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列表段落1"/>
    <w:basedOn w:val="1"/>
    <w:qFormat/>
    <w:uiPriority w:val="0"/>
    <w:pPr>
      <w:widowControl w:val="0"/>
      <w:ind w:firstLine="200" w:firstLineChars="200"/>
      <w:jc w:val="both"/>
    </w:pPr>
    <w:rPr>
      <w:rFonts w:ascii="Calibri" w:hAnsi="Calibri" w:eastAsia="仿宋" w:cstheme="minorBidi"/>
      <w:kern w:val="2"/>
      <w:sz w:val="28"/>
      <w:lang w:val="en-US"/>
    </w:rPr>
  </w:style>
  <w:style w:type="paragraph" w:customStyle="1" w:styleId="19">
    <w:name w:val="正文-段落"/>
    <w:basedOn w:val="1"/>
    <w:qFormat/>
    <w:uiPriority w:val="0"/>
    <w:pPr>
      <w:ind w:firstLine="200" w:firstLineChars="200"/>
    </w:pPr>
    <w:rPr>
      <w:rFonts w:cs="宋体"/>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159</Pages>
  <Words>4438</Words>
  <Characters>4794</Characters>
  <Lines>0</Lines>
  <Paragraphs>0</Paragraphs>
  <TotalTime>4</TotalTime>
  <ScaleCrop>false</ScaleCrop>
  <LinksUpToDate>false</LinksUpToDate>
  <CharactersWithSpaces>4841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2026-10-27T04:41:00Z</dcterms:created>
  <dc:creator>13232</dc:creator>
  <cp:lastModifiedBy>浩哥哥</cp:lastModifiedBy>
  <dcterms:modified xsi:type="dcterms:W3CDTF">2026-10-30T03:54:54Z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eyJoZGlkIjoiNTYyZmZjMGRhMTNhNTg4NDYxMTYxZTAzZmNmNjNiNjciLCJ1c2VySWQiOiIzNjIxNjEyMzgifQ==</vt:lpwstr>
  </property>
  <property fmtid="{D5CDD505-2E9C-101B-9397-08002B2CF9AE}" pid="4" name="ICV">
    <vt:lpwstr>438E3301D9334D0AB40545F39363A0BA_13</vt:lpwstr>
  </property>
</Properties>
</file>