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ind w:firstLine="320" w:firstLineChars="100"/>
        <w:jc w:val="both"/>
        <w:outlineLvl w:val="3"/>
        <w:rPr>
          <w:rFonts w:hint="eastAsia" w:ascii="仿宋" w:hAnsi="仿宋" w:eastAsia="仿宋" w:cs="仿宋"/>
          <w:b w:val="0"/>
          <w:bCs/>
          <w:color w:val="000000" w:themeColor="text1"/>
          <w:kern w:val="0"/>
          <w:sz w:val="32"/>
          <w:szCs w:val="32"/>
          <w:lang w:val="en-US" w:eastAsia="zh-CN"/>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14:textFill>
            <w14:solidFill>
              <w14:schemeClr w14:val="tx1"/>
            </w14:solidFill>
          </w14:textFill>
        </w:rPr>
        <w:t>附件1：</w:t>
      </w:r>
    </w:p>
    <w:p>
      <w:pPr>
        <w:overflowPunct w:val="0"/>
        <w:adjustRightInd w:val="0"/>
        <w:snapToGrid w:val="0"/>
        <w:spacing w:line="560" w:lineRule="exact"/>
        <w:jc w:val="center"/>
        <w:outlineLvl w:val="3"/>
        <w:rPr>
          <w:rFonts w:hint="eastAsia" w:ascii="方正小标宋简体" w:hAnsi="微软雅黑" w:eastAsia="方正小标宋简体" w:cs="宋体"/>
          <w:b/>
          <w:bCs w:val="0"/>
          <w:color w:val="000000" w:themeColor="text1"/>
          <w:kern w:val="0"/>
          <w:sz w:val="44"/>
          <w:szCs w:val="44"/>
          <w:lang w:val="en-US" w:eastAsia="zh-CN"/>
          <w14:textFill>
            <w14:solidFill>
              <w14:schemeClr w14:val="tx1"/>
            </w14:solidFill>
          </w14:textFill>
        </w:rPr>
      </w:pPr>
    </w:p>
    <w:p>
      <w:pPr>
        <w:overflowPunct w:val="0"/>
        <w:adjustRightInd w:val="0"/>
        <w:snapToGrid w:val="0"/>
        <w:spacing w:line="560" w:lineRule="exact"/>
        <w:jc w:val="center"/>
        <w:outlineLvl w:val="3"/>
        <w:rPr>
          <w:rFonts w:hint="eastAsia" w:ascii="方正小标宋简体" w:hAnsi="微软雅黑" w:eastAsia="方正小标宋简体" w:cs="宋体"/>
          <w:b/>
          <w:bCs w:val="0"/>
          <w:color w:val="000000" w:themeColor="text1"/>
          <w:kern w:val="0"/>
          <w:sz w:val="44"/>
          <w:szCs w:val="44"/>
          <w14:textFill>
            <w14:solidFill>
              <w14:schemeClr w14:val="tx1"/>
            </w14:solidFill>
          </w14:textFill>
        </w:rPr>
      </w:pPr>
      <w:r>
        <w:rPr>
          <w:rFonts w:hint="eastAsia" w:ascii="方正小标宋简体" w:hAnsi="微软雅黑" w:eastAsia="方正小标宋简体" w:cs="宋体"/>
          <w:b/>
          <w:bCs w:val="0"/>
          <w:color w:val="000000" w:themeColor="text1"/>
          <w:kern w:val="0"/>
          <w:sz w:val="44"/>
          <w:szCs w:val="44"/>
          <w:lang w:val="en-US" w:eastAsia="zh-CN"/>
          <w14:textFill>
            <w14:solidFill>
              <w14:schemeClr w14:val="tx1"/>
            </w14:solidFill>
          </w14:textFill>
        </w:rPr>
        <w:t>湛江市麻章区</w:t>
      </w:r>
      <w:r>
        <w:rPr>
          <w:rFonts w:hint="eastAsia" w:ascii="方正小标宋简体" w:hAnsi="微软雅黑" w:eastAsia="方正小标宋简体" w:cs="宋体"/>
          <w:b/>
          <w:bCs w:val="0"/>
          <w:color w:val="000000" w:themeColor="text1"/>
          <w:kern w:val="0"/>
          <w:sz w:val="44"/>
          <w:szCs w:val="44"/>
          <w14:textFill>
            <w14:solidFill>
              <w14:schemeClr w14:val="tx1"/>
            </w14:solidFill>
          </w14:textFill>
        </w:rPr>
        <w:t>农民合作社服务中心</w:t>
      </w:r>
    </w:p>
    <w:p>
      <w:pPr>
        <w:overflowPunct w:val="0"/>
        <w:adjustRightInd w:val="0"/>
        <w:snapToGrid w:val="0"/>
        <w:spacing w:line="560" w:lineRule="exact"/>
        <w:jc w:val="center"/>
        <w:outlineLvl w:val="3"/>
        <w:rPr>
          <w:rFonts w:ascii="方正小标宋简体" w:hAnsi="微软雅黑" w:eastAsia="方正小标宋简体" w:cs="宋体"/>
          <w:b/>
          <w:bCs w:val="0"/>
          <w:color w:val="000000" w:themeColor="text1"/>
          <w:kern w:val="0"/>
          <w:sz w:val="44"/>
          <w:szCs w:val="44"/>
          <w14:textFill>
            <w14:solidFill>
              <w14:schemeClr w14:val="tx1"/>
            </w14:solidFill>
          </w14:textFill>
        </w:rPr>
      </w:pPr>
      <w:r>
        <w:rPr>
          <w:rFonts w:hint="eastAsia" w:ascii="方正小标宋简体" w:hAnsi="微软雅黑" w:eastAsia="方正小标宋简体" w:cs="宋体"/>
          <w:b/>
          <w:bCs w:val="0"/>
          <w:color w:val="000000" w:themeColor="text1"/>
          <w:kern w:val="0"/>
          <w:sz w:val="44"/>
          <w:szCs w:val="44"/>
          <w14:textFill>
            <w14:solidFill>
              <w14:schemeClr w14:val="tx1"/>
            </w14:solidFill>
          </w14:textFill>
        </w:rPr>
        <w:t>建设方案</w:t>
      </w:r>
    </w:p>
    <w:p>
      <w:pPr>
        <w:overflowPunct w:val="0"/>
        <w:adjustRightInd w:val="0"/>
        <w:snapToGrid w:val="0"/>
        <w:spacing w:line="560" w:lineRule="exact"/>
        <w:jc w:val="center"/>
        <w:outlineLvl w:val="3"/>
        <w:rPr>
          <w:rFonts w:ascii="仿宋_GB2312" w:hAnsi="微软雅黑" w:eastAsia="仿宋_GB2312" w:cs="宋体"/>
          <w:b/>
          <w:bCs/>
          <w:color w:val="000000" w:themeColor="text1"/>
          <w:kern w:val="0"/>
          <w:sz w:val="32"/>
          <w:szCs w:val="32"/>
          <w14:textFill>
            <w14:solidFill>
              <w14:schemeClr w14:val="tx1"/>
            </w14:solidFill>
          </w14:textFill>
        </w:rPr>
      </w:pPr>
    </w:p>
    <w:p>
      <w:pPr>
        <w:shd w:val="clear" w:color="auto" w:fill="FFFFFF"/>
        <w:overflowPunct w:val="0"/>
        <w:adjustRightInd w:val="0"/>
        <w:snapToGrid w:val="0"/>
        <w:spacing w:line="560" w:lineRule="exact"/>
        <w:ind w:firstLine="640"/>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根据广东省农业农村厅《加快农民合作社培育的通知》精神和</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市、区</w:t>
      </w:r>
      <w:r>
        <w:rPr>
          <w:rFonts w:hint="eastAsia" w:ascii="仿宋_GB2312" w:hAnsi="微软雅黑" w:eastAsia="仿宋_GB2312" w:cs="宋体"/>
          <w:color w:val="000000" w:themeColor="text1"/>
          <w:kern w:val="0"/>
          <w:sz w:val="32"/>
          <w:szCs w:val="32"/>
          <w14:textFill>
            <w14:solidFill>
              <w14:schemeClr w14:val="tx1"/>
            </w14:solidFill>
          </w14:textFill>
        </w:rPr>
        <w:t>工作部署，为高质量完成农民合作社服务中心设立工作，遵循“公开、公平、公正”的原则，现公开遴选承接我</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区</w:t>
      </w:r>
      <w:r>
        <w:rPr>
          <w:rFonts w:hint="eastAsia" w:ascii="仿宋_GB2312" w:hAnsi="微软雅黑" w:eastAsia="仿宋_GB2312" w:cs="宋体"/>
          <w:color w:val="000000" w:themeColor="text1"/>
          <w:kern w:val="0"/>
          <w:sz w:val="32"/>
          <w:szCs w:val="32"/>
          <w14:textFill>
            <w14:solidFill>
              <w14:schemeClr w14:val="tx1"/>
            </w14:solidFill>
          </w14:textFill>
        </w:rPr>
        <w:t>农民合作社服务中心的服务主体，有关事项公告如下：</w:t>
      </w:r>
    </w:p>
    <w:p>
      <w:pPr>
        <w:shd w:val="clear" w:color="auto" w:fill="FFFFFF"/>
        <w:overflowPunct w:val="0"/>
        <w:adjustRightInd w:val="0"/>
        <w:snapToGrid w:val="0"/>
        <w:spacing w:line="560" w:lineRule="exact"/>
        <w:ind w:firstLine="640"/>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一、农民合作社服务中心基本任务</w:t>
      </w:r>
    </w:p>
    <w:p>
      <w:pPr>
        <w:shd w:val="clear" w:color="auto" w:fill="FFFFFF"/>
        <w:overflowPunct w:val="0"/>
        <w:adjustRightInd w:val="0"/>
        <w:snapToGrid w:val="0"/>
        <w:spacing w:line="560" w:lineRule="exact"/>
        <w:ind w:firstLine="675"/>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(一)农民合作社服务中心主要为农民合作社发展提供注册登记、年审、财务、金融保险、项目申报、运营管理等专项指导和服务；</w:t>
      </w:r>
    </w:p>
    <w:p>
      <w:pPr>
        <w:shd w:val="clear" w:color="auto" w:fill="FFFFFF"/>
        <w:overflowPunct w:val="0"/>
        <w:adjustRightInd w:val="0"/>
        <w:snapToGrid w:val="0"/>
        <w:spacing w:line="560" w:lineRule="exact"/>
        <w:ind w:firstLine="675"/>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（二）按照广东省农业农村厅文件要求的有关合作社制度建设、运营代办、市场拓展、农业生产、交流培训等服务，降低农民合作社办理和运营成本，提高农民合作社运营质量。</w:t>
      </w:r>
    </w:p>
    <w:p>
      <w:pPr>
        <w:shd w:val="clear" w:color="auto" w:fill="FFFFFF"/>
        <w:overflowPunct w:val="0"/>
        <w:adjustRightInd w:val="0"/>
        <w:snapToGrid w:val="0"/>
        <w:spacing w:line="560" w:lineRule="exact"/>
        <w:ind w:firstLine="643" w:firstLineChars="200"/>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二、服务范围</w:t>
      </w:r>
    </w:p>
    <w:p>
      <w:pPr>
        <w:shd w:val="clear" w:color="auto" w:fill="FFFFFF"/>
        <w:overflowPunct w:val="0"/>
        <w:adjustRightInd w:val="0"/>
        <w:snapToGrid w:val="0"/>
        <w:spacing w:line="560" w:lineRule="exact"/>
        <w:ind w:firstLine="640" w:firstLineChars="200"/>
        <w:rPr>
          <w:rFonts w:hint="eastAsia" w:ascii="仿宋" w:hAnsi="仿宋" w:eastAsia="仿宋" w:cs="仿宋"/>
          <w:b w:val="0"/>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 w:val="0"/>
          <w:bCs/>
          <w:color w:val="000000" w:themeColor="text1"/>
          <w:kern w:val="0"/>
          <w:sz w:val="32"/>
          <w:szCs w:val="32"/>
          <w:u w:val="none"/>
          <w:lang w:val="en-US" w:eastAsia="zh-CN"/>
          <w14:textFill>
            <w14:solidFill>
              <w14:schemeClr w14:val="tx1"/>
            </w14:solidFill>
          </w14:textFill>
        </w:rPr>
        <w:t>合作社服务中心要围绕农业经营主体、农村经济组织发展需求，丰富服务内容，规范服务行为，提升服务质量。</w:t>
      </w:r>
    </w:p>
    <w:p>
      <w:pPr>
        <w:overflowPunct w:val="0"/>
        <w:adjustRightInd w:val="0"/>
        <w:snapToGrid w:val="0"/>
        <w:spacing w:line="560" w:lineRule="exact"/>
        <w:ind w:firstLine="64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（一）制度建设服务。向辖区内经营主体宣传有关农民合作社的法律法规和政策，协助农民合作社健全各项管理制度、运营机制，完善农民合作社利益联结机制和分配方式。</w:t>
      </w:r>
    </w:p>
    <w:p>
      <w:pPr>
        <w:overflowPunct w:val="0"/>
        <w:adjustRightInd w:val="0"/>
        <w:snapToGrid w:val="0"/>
        <w:spacing w:line="56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（二）运营代办服务。培育和发展农民合作社，为经营主体提供农民合作社注册登记、登记事项变更、档案管理、年报报送、财务代理、税务申报、项目申报等代办托管服务。</w:t>
      </w:r>
    </w:p>
    <w:p>
      <w:pPr>
        <w:overflowPunct w:val="0"/>
        <w:adjustRightInd w:val="0"/>
        <w:snapToGrid w:val="0"/>
        <w:spacing w:line="56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（三）市场拓展服务。为农民合作社提供运营指导、法律咨询、生产技术推广、金融保险对接、品牌打造、产销对接、信息交流等商务服务。</w:t>
      </w:r>
    </w:p>
    <w:p>
      <w:pPr>
        <w:overflowPunct w:val="0"/>
        <w:adjustRightInd w:val="0"/>
        <w:snapToGrid w:val="0"/>
        <w:spacing w:line="56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（四）农业生产服务。协调整合农机、植保、劳务、农资供应等生产资源，组织当地农民合作社对接服务主体，为农民合作社及其成员生产提供专业生产性服务。</w:t>
      </w:r>
    </w:p>
    <w:p>
      <w:pPr>
        <w:overflowPunct w:val="0"/>
        <w:adjustRightInd w:val="0"/>
        <w:snapToGrid w:val="0"/>
        <w:spacing w:line="56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（五）交流培训服务。搭建农民合作社、成员相互间交流平台，创新农民合作社及其成员培训方式，为农民合作社成员、准成员开展辅导培训服务。</w:t>
      </w:r>
    </w:p>
    <w:p>
      <w:pPr>
        <w:overflowPunct w:val="0"/>
        <w:adjustRightInd w:val="0"/>
        <w:snapToGrid w:val="0"/>
        <w:spacing w:line="560" w:lineRule="exact"/>
        <w:ind w:firstLine="640" w:firstLineChars="200"/>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（六）其他服务。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麻章区农业农村和水务局</w:t>
      </w:r>
      <w:r>
        <w:rPr>
          <w:rFonts w:hint="eastAsia" w:ascii="仿宋_GB2312" w:hAnsi="微软雅黑" w:eastAsia="仿宋_GB2312" w:cs="宋体"/>
          <w:color w:val="000000" w:themeColor="text1"/>
          <w:kern w:val="0"/>
          <w:sz w:val="32"/>
          <w:szCs w:val="32"/>
          <w14:textFill>
            <w14:solidFill>
              <w14:schemeClr w14:val="tx1"/>
            </w14:solidFill>
          </w14:textFill>
        </w:rPr>
        <w:t>委托的其他事项，或者服务中心承接主体自行拓展的合法市场服务。</w:t>
      </w:r>
    </w:p>
    <w:p>
      <w:pPr>
        <w:overflowPunct w:val="0"/>
        <w:adjustRightInd w:val="0"/>
        <w:snapToGrid w:val="0"/>
        <w:spacing w:line="560" w:lineRule="exact"/>
        <w:ind w:firstLine="643" w:firstLineChars="200"/>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三、年度任务目标</w:t>
      </w:r>
    </w:p>
    <w:p>
      <w:pPr>
        <w:shd w:val="clear" w:color="auto" w:fill="FFFFFF"/>
        <w:overflowPunct w:val="0"/>
        <w:adjustRightInd w:val="0"/>
        <w:snapToGrid w:val="0"/>
        <w:spacing w:line="560" w:lineRule="exact"/>
        <w:ind w:firstLine="640"/>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农民合作社服务中心今年将完成任务目标如下：</w:t>
      </w:r>
    </w:p>
    <w:p>
      <w:pPr>
        <w:numPr>
          <w:ilvl w:val="0"/>
          <w:numId w:val="1"/>
        </w:numPr>
        <w:shd w:val="clear" w:color="auto" w:fill="FFFFFF"/>
        <w:overflowPunct w:val="0"/>
        <w:adjustRightInd w:val="0"/>
        <w:snapToGrid w:val="0"/>
        <w:spacing w:line="560" w:lineRule="exact"/>
        <w:ind w:firstLine="640"/>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培育发展有意愿组建农民合作社的家庭农场、种养大户等，指导新组建合作社完善各项制度和财务管理；</w:t>
      </w:r>
    </w:p>
    <w:p>
      <w:pPr>
        <w:numPr>
          <w:ilvl w:val="0"/>
          <w:numId w:val="1"/>
        </w:numPr>
        <w:shd w:val="clear" w:color="auto" w:fill="FFFFFF"/>
        <w:overflowPunct w:val="0"/>
        <w:adjustRightInd w:val="0"/>
        <w:snapToGrid w:val="0"/>
        <w:spacing w:line="560" w:lineRule="exact"/>
        <w:ind w:firstLine="64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指导农民合作社示范社规范使用广东省农业农村厅推荐的合作社财务管理软件</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202</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宋体"/>
          <w:color w:val="000000" w:themeColor="text1"/>
          <w:kern w:val="0"/>
          <w:sz w:val="32"/>
          <w:szCs w:val="32"/>
          <w14:textFill>
            <w14:solidFill>
              <w14:schemeClr w14:val="tx1"/>
            </w14:solidFill>
          </w14:textFill>
        </w:rPr>
        <w:t>年底</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前，区</w:t>
      </w:r>
      <w:r>
        <w:rPr>
          <w:rFonts w:hint="eastAsia" w:ascii="仿宋_GB2312" w:hAnsi="微软雅黑" w:eastAsia="仿宋_GB2312" w:cs="宋体"/>
          <w:color w:val="000000" w:themeColor="text1"/>
          <w:kern w:val="0"/>
          <w:sz w:val="32"/>
          <w:szCs w:val="32"/>
          <w14:textFill>
            <w14:solidFill>
              <w14:schemeClr w14:val="tx1"/>
            </w14:solidFill>
          </w14:textFill>
        </w:rPr>
        <w:t>级以上示范社全部建立完备的成员账户；</w:t>
      </w:r>
    </w:p>
    <w:p>
      <w:pPr>
        <w:numPr>
          <w:ilvl w:val="0"/>
          <w:numId w:val="1"/>
        </w:numPr>
        <w:shd w:val="clear" w:color="auto" w:fill="FFFFFF"/>
        <w:overflowPunct w:val="0"/>
        <w:adjustRightInd w:val="0"/>
        <w:snapToGrid w:val="0"/>
        <w:spacing w:line="560" w:lineRule="exact"/>
        <w:ind w:firstLine="64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做好在市场监管部门登记注册并正常运营的农民合作社财务记账工作,并全部按时报送年报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p>
    <w:p>
      <w:pPr>
        <w:numPr>
          <w:ilvl w:val="0"/>
          <w:numId w:val="1"/>
        </w:numPr>
        <w:shd w:val="clear" w:color="auto" w:fill="FFFFFF"/>
        <w:overflowPunct w:val="0"/>
        <w:adjustRightInd w:val="0"/>
        <w:snapToGrid w:val="0"/>
        <w:spacing w:line="560" w:lineRule="exact"/>
        <w:ind w:firstLine="64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具体委托任务按省、市对试点县</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市、区</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的工作要求进行适时调整。</w:t>
      </w:r>
    </w:p>
    <w:p>
      <w:pPr>
        <w:shd w:val="clear" w:color="auto" w:fill="FFFFFF"/>
        <w:overflowPunct w:val="0"/>
        <w:adjustRightInd w:val="0"/>
        <w:snapToGrid w:val="0"/>
        <w:spacing w:line="560" w:lineRule="exact"/>
        <w:ind w:firstLine="600"/>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四、项目预算</w:t>
      </w:r>
    </w:p>
    <w:p>
      <w:pPr>
        <w:shd w:val="clear" w:color="auto" w:fill="FFFFFF"/>
        <w:overflowPunct w:val="0"/>
        <w:adjustRightInd w:val="0"/>
        <w:snapToGrid w:val="0"/>
        <w:spacing w:line="560" w:lineRule="exact"/>
        <w:ind w:firstLine="600"/>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农民合作社服务中心建设财政补助预算</w:t>
      </w:r>
      <w:r>
        <w:rPr>
          <w:rFonts w:hint="eastAsia" w:ascii="仿宋_GB2312" w:hAnsi="微软雅黑" w:eastAsia="仿宋_GB2312" w:cs="宋体"/>
          <w:strike w:val="0"/>
          <w:dstrike w:val="0"/>
          <w:color w:val="auto"/>
          <w:kern w:val="0"/>
          <w:sz w:val="32"/>
          <w:szCs w:val="32"/>
          <w:highlight w:val="none"/>
          <w:lang w:val="en-US" w:eastAsia="zh-CN"/>
        </w:rPr>
        <w:t>942000</w:t>
      </w:r>
      <w:r>
        <w:rPr>
          <w:rFonts w:hint="eastAsia" w:ascii="仿宋_GB2312" w:hAnsi="微软雅黑" w:eastAsia="仿宋_GB2312" w:cs="宋体"/>
          <w:color w:val="000000" w:themeColor="text1"/>
          <w:kern w:val="0"/>
          <w:sz w:val="32"/>
          <w:szCs w:val="32"/>
          <w14:textFill>
            <w14:solidFill>
              <w14:schemeClr w14:val="tx1"/>
            </w14:solidFill>
          </w14:textFill>
        </w:rPr>
        <w:t>元</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服务费用主要用于</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2020和2021年度支出</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一是</w:t>
      </w:r>
      <w:r>
        <w:rPr>
          <w:rFonts w:hint="eastAsia" w:ascii="仿宋_GB2312" w:hAnsi="微软雅黑" w:eastAsia="仿宋_GB2312" w:cs="宋体"/>
          <w:color w:val="000000" w:themeColor="text1"/>
          <w:kern w:val="0"/>
          <w:sz w:val="32"/>
          <w:szCs w:val="32"/>
          <w14:textFill>
            <w14:solidFill>
              <w14:schemeClr w14:val="tx1"/>
            </w14:solidFill>
          </w14:textFill>
        </w:rPr>
        <w:t>发展和培育农民合作社</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农民合作社联社</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以及合作社辅导员、合作社理事长及成员培训；二是</w:t>
      </w:r>
      <w:r>
        <w:rPr>
          <w:rFonts w:hint="eastAsia" w:ascii="仿宋_GB2312" w:hAnsi="微软雅黑" w:eastAsia="仿宋_GB2312" w:cs="宋体"/>
          <w:color w:val="000000" w:themeColor="text1"/>
          <w:kern w:val="0"/>
          <w:sz w:val="32"/>
          <w:szCs w:val="32"/>
          <w14:textFill>
            <w14:solidFill>
              <w14:schemeClr w14:val="tx1"/>
            </w14:solidFill>
          </w14:textFill>
        </w:rPr>
        <w:t>做好</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财务代理，</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帮助农民合作社完善制度建设</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三是</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规模生产的经营主体情况摸底；</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四是</w:t>
      </w:r>
      <w:r>
        <w:rPr>
          <w:rFonts w:hint="eastAsia" w:ascii="仿宋_GB2312" w:hAnsi="微软雅黑" w:eastAsia="仿宋_GB2312" w:cs="宋体"/>
          <w:color w:val="000000" w:themeColor="text1"/>
          <w:kern w:val="0"/>
          <w:sz w:val="32"/>
          <w:szCs w:val="32"/>
          <w14:textFill>
            <w14:solidFill>
              <w14:schemeClr w14:val="tx1"/>
            </w14:solidFill>
          </w14:textFill>
        </w:rPr>
        <w:t>对农民合作社和种养大户（家庭农场）上门指导</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五是开展农民合作社宣传、印发农民合作社政策宣传海报和小册子，开展农民合作社典型案例编撰，修缮办公场所及完善专业人员配备</w:t>
      </w:r>
      <w:r>
        <w:rPr>
          <w:rFonts w:hint="eastAsia" w:ascii="仿宋_GB2312" w:hAnsi="微软雅黑" w:eastAsia="仿宋_GB2312" w:cs="宋体"/>
          <w:color w:val="000000" w:themeColor="text1"/>
          <w:kern w:val="0"/>
          <w:sz w:val="32"/>
          <w:szCs w:val="32"/>
          <w14:textFill>
            <w14:solidFill>
              <w14:schemeClr w14:val="tx1"/>
            </w14:solidFill>
          </w14:textFill>
        </w:rPr>
        <w:t>等</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方面</w:t>
      </w:r>
      <w:r>
        <w:rPr>
          <w:rFonts w:hint="eastAsia" w:ascii="仿宋_GB2312" w:hAnsi="微软雅黑" w:eastAsia="仿宋_GB2312" w:cs="宋体"/>
          <w:color w:val="000000" w:themeColor="text1"/>
          <w:kern w:val="0"/>
          <w:sz w:val="32"/>
          <w:szCs w:val="32"/>
          <w14:textFill>
            <w14:solidFill>
              <w14:schemeClr w14:val="tx1"/>
            </w14:solidFill>
          </w14:textFill>
        </w:rPr>
        <w:t>。</w:t>
      </w:r>
    </w:p>
    <w:p>
      <w:pPr>
        <w:shd w:val="clear" w:color="auto" w:fill="FFFFFF"/>
        <w:overflowPunct w:val="0"/>
        <w:adjustRightInd w:val="0"/>
        <w:snapToGrid w:val="0"/>
        <w:spacing w:line="560" w:lineRule="exact"/>
        <w:jc w:val="center"/>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农民合作社服务中心服务内容财政补助预算表</w:t>
      </w:r>
    </w:p>
    <w:p>
      <w:pPr>
        <w:shd w:val="clear" w:color="auto" w:fill="FFFFFF"/>
        <w:overflowPunct w:val="0"/>
        <w:adjustRightInd w:val="0"/>
        <w:snapToGrid w:val="0"/>
        <w:spacing w:line="560" w:lineRule="exact"/>
        <w:jc w:val="center"/>
        <w:rPr>
          <w:rFonts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（实际补助金额按上级规定或经报</w:t>
      </w:r>
      <w:r>
        <w:rPr>
          <w:rFonts w:hint="eastAsia" w:ascii="仿宋_GB2312" w:hAnsi="微软雅黑" w:eastAsia="仿宋_GB2312" w:cs="宋体"/>
          <w:b/>
          <w:color w:val="000000" w:themeColor="text1"/>
          <w:kern w:val="0"/>
          <w:sz w:val="32"/>
          <w:szCs w:val="32"/>
          <w:lang w:val="en-US" w:eastAsia="zh-CN"/>
          <w14:textFill>
            <w14:solidFill>
              <w14:schemeClr w14:val="tx1"/>
            </w14:solidFill>
          </w14:textFill>
        </w:rPr>
        <w:t>区人民</w:t>
      </w:r>
      <w:r>
        <w:rPr>
          <w:rFonts w:hint="eastAsia" w:ascii="仿宋_GB2312" w:hAnsi="微软雅黑" w:eastAsia="仿宋_GB2312" w:cs="宋体"/>
          <w:b/>
          <w:color w:val="000000" w:themeColor="text1"/>
          <w:kern w:val="0"/>
          <w:sz w:val="32"/>
          <w:szCs w:val="32"/>
          <w14:textFill>
            <w14:solidFill>
              <w14:schemeClr w14:val="tx1"/>
            </w14:solidFill>
          </w14:textFill>
        </w:rPr>
        <w:t>政府审批为准）</w:t>
      </w:r>
    </w:p>
    <w:tbl>
      <w:tblPr>
        <w:tblStyle w:val="5"/>
        <w:tblW w:w="9143" w:type="dxa"/>
        <w:tblInd w:w="-25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50"/>
        <w:gridCol w:w="1217"/>
        <w:gridCol w:w="3966"/>
        <w:gridCol w:w="1228"/>
        <w:gridCol w:w="1056"/>
        <w:gridCol w:w="1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6" w:hRule="atLeast"/>
        </w:trPr>
        <w:tc>
          <w:tcPr>
            <w:tcW w:w="550" w:type="dxa"/>
            <w:vAlign w:val="center"/>
          </w:tcPr>
          <w:p>
            <w:pPr>
              <w:overflowPunct w:val="0"/>
              <w:adjustRightInd w:val="0"/>
              <w:snapToGrid w:val="0"/>
              <w:spacing w:line="400" w:lineRule="exact"/>
              <w:jc w:val="center"/>
              <w:rPr>
                <w:rFonts w:ascii="仿宋_GB2312" w:hAnsi="微软雅黑" w:eastAsia="仿宋_GB2312" w:cs="宋体"/>
                <w:b/>
                <w:color w:val="000000" w:themeColor="text1"/>
                <w:kern w:val="0"/>
                <w:sz w:val="24"/>
                <w:szCs w:val="24"/>
                <w14:textFill>
                  <w14:solidFill>
                    <w14:schemeClr w14:val="tx1"/>
                  </w14:solidFill>
                </w14:textFill>
              </w:rPr>
            </w:pPr>
            <w:r>
              <w:rPr>
                <w:rFonts w:hint="eastAsia" w:ascii="仿宋_GB2312" w:hAnsi="微软雅黑" w:eastAsia="仿宋_GB2312" w:cs="宋体"/>
                <w:b/>
                <w:color w:val="000000" w:themeColor="text1"/>
                <w:kern w:val="0"/>
                <w:sz w:val="24"/>
                <w:szCs w:val="24"/>
                <w14:textFill>
                  <w14:solidFill>
                    <w14:schemeClr w14:val="tx1"/>
                  </w14:solidFill>
                </w14:textFill>
              </w:rPr>
              <w:t>序号</w:t>
            </w:r>
          </w:p>
        </w:tc>
        <w:tc>
          <w:tcPr>
            <w:tcW w:w="1217" w:type="dxa"/>
            <w:vAlign w:val="center"/>
          </w:tcPr>
          <w:p>
            <w:pPr>
              <w:overflowPunct w:val="0"/>
              <w:adjustRightInd w:val="0"/>
              <w:snapToGrid w:val="0"/>
              <w:spacing w:line="400" w:lineRule="exact"/>
              <w:jc w:val="center"/>
              <w:rPr>
                <w:rFonts w:ascii="仿宋_GB2312" w:hAnsi="微软雅黑" w:eastAsia="仿宋_GB2312" w:cs="宋体"/>
                <w:b/>
                <w:color w:val="000000" w:themeColor="text1"/>
                <w:kern w:val="0"/>
                <w:sz w:val="24"/>
                <w:szCs w:val="24"/>
                <w14:textFill>
                  <w14:solidFill>
                    <w14:schemeClr w14:val="tx1"/>
                  </w14:solidFill>
                </w14:textFill>
              </w:rPr>
            </w:pPr>
            <w:r>
              <w:rPr>
                <w:rFonts w:hint="eastAsia" w:ascii="仿宋_GB2312" w:hAnsi="微软雅黑" w:eastAsia="仿宋_GB2312" w:cs="宋体"/>
                <w:b/>
                <w:color w:val="000000" w:themeColor="text1"/>
                <w:kern w:val="0"/>
                <w:sz w:val="24"/>
                <w:szCs w:val="24"/>
                <w14:textFill>
                  <w14:solidFill>
                    <w14:schemeClr w14:val="tx1"/>
                  </w14:solidFill>
                </w14:textFill>
              </w:rPr>
              <w:t>服务内容</w:t>
            </w:r>
          </w:p>
        </w:tc>
        <w:tc>
          <w:tcPr>
            <w:tcW w:w="3966" w:type="dxa"/>
            <w:vAlign w:val="center"/>
          </w:tcPr>
          <w:p>
            <w:pPr>
              <w:overflowPunct w:val="0"/>
              <w:adjustRightInd w:val="0"/>
              <w:snapToGrid w:val="0"/>
              <w:spacing w:line="400" w:lineRule="exact"/>
              <w:jc w:val="center"/>
              <w:rPr>
                <w:rFonts w:ascii="仿宋_GB2312" w:hAnsi="微软雅黑" w:eastAsia="仿宋_GB2312" w:cs="宋体"/>
                <w:b/>
                <w:color w:val="000000" w:themeColor="text1"/>
                <w:kern w:val="0"/>
                <w:sz w:val="24"/>
                <w:szCs w:val="24"/>
                <w14:textFill>
                  <w14:solidFill>
                    <w14:schemeClr w14:val="tx1"/>
                  </w14:solidFill>
                </w14:textFill>
              </w:rPr>
            </w:pPr>
            <w:r>
              <w:rPr>
                <w:rFonts w:hint="eastAsia" w:ascii="仿宋_GB2312" w:hAnsi="微软雅黑" w:eastAsia="仿宋_GB2312" w:cs="宋体"/>
                <w:b/>
                <w:color w:val="000000" w:themeColor="text1"/>
                <w:kern w:val="0"/>
                <w:sz w:val="24"/>
                <w:szCs w:val="24"/>
                <w14:textFill>
                  <w14:solidFill>
                    <w14:schemeClr w14:val="tx1"/>
                  </w14:solidFill>
                </w14:textFill>
              </w:rPr>
              <w:t>数量任务</w:t>
            </w:r>
          </w:p>
        </w:tc>
        <w:tc>
          <w:tcPr>
            <w:tcW w:w="1228" w:type="dxa"/>
            <w:vAlign w:val="center"/>
          </w:tcPr>
          <w:p>
            <w:pPr>
              <w:overflowPunct w:val="0"/>
              <w:adjustRightInd w:val="0"/>
              <w:snapToGrid w:val="0"/>
              <w:spacing w:line="400" w:lineRule="exact"/>
              <w:jc w:val="center"/>
              <w:rPr>
                <w:rFonts w:ascii="仿宋_GB2312" w:hAnsi="微软雅黑" w:eastAsia="仿宋_GB2312" w:cs="宋体"/>
                <w:b/>
                <w:color w:val="000000" w:themeColor="text1"/>
                <w:kern w:val="0"/>
                <w:sz w:val="24"/>
                <w:szCs w:val="24"/>
                <w14:textFill>
                  <w14:solidFill>
                    <w14:schemeClr w14:val="tx1"/>
                  </w14:solidFill>
                </w14:textFill>
              </w:rPr>
            </w:pPr>
            <w:r>
              <w:rPr>
                <w:rFonts w:hint="eastAsia" w:ascii="仿宋_GB2312" w:hAnsi="微软雅黑" w:eastAsia="仿宋_GB2312" w:cs="宋体"/>
                <w:b/>
                <w:color w:val="000000" w:themeColor="text1"/>
                <w:kern w:val="0"/>
                <w:sz w:val="24"/>
                <w:szCs w:val="24"/>
                <w:lang w:val="en-US" w:eastAsia="zh-CN"/>
                <w14:textFill>
                  <w14:solidFill>
                    <w14:schemeClr w14:val="tx1"/>
                  </w14:solidFill>
                </w14:textFill>
              </w:rPr>
              <w:t>2020年度</w:t>
            </w:r>
            <w:r>
              <w:rPr>
                <w:rFonts w:hint="eastAsia" w:ascii="仿宋_GB2312" w:hAnsi="微软雅黑" w:eastAsia="仿宋_GB2312" w:cs="宋体"/>
                <w:b/>
                <w:color w:val="000000" w:themeColor="text1"/>
                <w:kern w:val="0"/>
                <w:sz w:val="24"/>
                <w:szCs w:val="24"/>
                <w14:textFill>
                  <w14:solidFill>
                    <w14:schemeClr w14:val="tx1"/>
                  </w14:solidFill>
                </w14:textFill>
              </w:rPr>
              <w:t>预算金（元）</w:t>
            </w:r>
          </w:p>
        </w:tc>
        <w:tc>
          <w:tcPr>
            <w:tcW w:w="1056" w:type="dxa"/>
            <w:vAlign w:val="center"/>
          </w:tcPr>
          <w:p>
            <w:pPr>
              <w:overflowPunct w:val="0"/>
              <w:adjustRightInd w:val="0"/>
              <w:snapToGrid w:val="0"/>
              <w:spacing w:line="400" w:lineRule="exact"/>
              <w:jc w:val="center"/>
              <w:rPr>
                <w:rFonts w:hint="eastAsia" w:ascii="仿宋_GB2312" w:hAnsi="微软雅黑" w:eastAsia="仿宋_GB2312" w:cs="宋体"/>
                <w:b/>
                <w:color w:val="000000" w:themeColor="text1"/>
                <w:kern w:val="0"/>
                <w:sz w:val="24"/>
                <w:szCs w:val="24"/>
                <w:lang w:val="en-US" w:eastAsia="zh-CN"/>
                <w14:textFill>
                  <w14:solidFill>
                    <w14:schemeClr w14:val="tx1"/>
                  </w14:solidFill>
                </w14:textFill>
              </w:rPr>
            </w:pPr>
            <w:r>
              <w:rPr>
                <w:rFonts w:hint="eastAsia" w:ascii="仿宋_GB2312" w:hAnsi="微软雅黑" w:eastAsia="仿宋_GB2312" w:cs="宋体"/>
                <w:b/>
                <w:color w:val="000000" w:themeColor="text1"/>
                <w:kern w:val="0"/>
                <w:sz w:val="24"/>
                <w:szCs w:val="24"/>
                <w:lang w:val="en-US" w:eastAsia="zh-CN"/>
                <w14:textFill>
                  <w14:solidFill>
                    <w14:schemeClr w14:val="tx1"/>
                  </w14:solidFill>
                </w14:textFill>
              </w:rPr>
              <w:t>2021年度</w:t>
            </w:r>
            <w:r>
              <w:rPr>
                <w:rFonts w:hint="eastAsia" w:ascii="仿宋_GB2312" w:hAnsi="微软雅黑" w:eastAsia="仿宋_GB2312" w:cs="宋体"/>
                <w:b/>
                <w:color w:val="000000" w:themeColor="text1"/>
                <w:kern w:val="0"/>
                <w:sz w:val="24"/>
                <w:szCs w:val="24"/>
                <w14:textFill>
                  <w14:solidFill>
                    <w14:schemeClr w14:val="tx1"/>
                  </w14:solidFill>
                </w14:textFill>
              </w:rPr>
              <w:t>预算金（元）</w:t>
            </w:r>
          </w:p>
        </w:tc>
        <w:tc>
          <w:tcPr>
            <w:tcW w:w="1126" w:type="dxa"/>
            <w:vAlign w:val="center"/>
          </w:tcPr>
          <w:p>
            <w:pPr>
              <w:overflowPunct w:val="0"/>
              <w:adjustRightInd w:val="0"/>
              <w:snapToGrid w:val="0"/>
              <w:spacing w:line="400" w:lineRule="exact"/>
              <w:jc w:val="center"/>
              <w:rPr>
                <w:rFonts w:hint="default" w:ascii="仿宋_GB2312" w:hAnsi="微软雅黑" w:eastAsia="仿宋_GB2312" w:cs="宋体"/>
                <w:b/>
                <w:color w:val="000000" w:themeColor="text1"/>
                <w:kern w:val="0"/>
                <w:sz w:val="24"/>
                <w:szCs w:val="24"/>
                <w:lang w:val="en-US" w:eastAsia="zh-CN"/>
                <w14:textFill>
                  <w14:solidFill>
                    <w14:schemeClr w14:val="tx1"/>
                  </w14:solidFill>
                </w14:textFill>
              </w:rPr>
            </w:pPr>
            <w:r>
              <w:rPr>
                <w:rFonts w:hint="eastAsia" w:ascii="仿宋_GB2312" w:hAnsi="微软雅黑" w:eastAsia="仿宋_GB2312" w:cs="宋体"/>
                <w:b/>
                <w:color w:val="000000" w:themeColor="text1"/>
                <w:kern w:val="0"/>
                <w:sz w:val="24"/>
                <w:szCs w:val="24"/>
                <w:lang w:val="en-US" w:eastAsia="zh-CN"/>
                <w14:textFill>
                  <w14:solidFill>
                    <w14:schemeClr w14:val="tx1"/>
                  </w14:solidFill>
                </w14:textFill>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1" w:hRule="atLeast"/>
        </w:trPr>
        <w:tc>
          <w:tcPr>
            <w:tcW w:w="550" w:type="dxa"/>
            <w:vAlign w:val="center"/>
          </w:tcPr>
          <w:p>
            <w:pPr>
              <w:overflowPunct w:val="0"/>
              <w:adjustRightInd w:val="0"/>
              <w:snapToGrid w:val="0"/>
              <w:spacing w:line="400" w:lineRule="exact"/>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w:t>
            </w:r>
          </w:p>
        </w:tc>
        <w:tc>
          <w:tcPr>
            <w:tcW w:w="1217" w:type="dxa"/>
            <w:vAlign w:val="center"/>
          </w:tcPr>
          <w:p>
            <w:pPr>
              <w:overflowPunct w:val="0"/>
              <w:adjustRightInd w:val="0"/>
              <w:snapToGrid w:val="0"/>
              <w:spacing w:line="400" w:lineRule="exact"/>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发展和培育农民合作社和农民合作社联社</w:t>
            </w:r>
          </w:p>
        </w:tc>
        <w:tc>
          <w:tcPr>
            <w:tcW w:w="3966" w:type="dxa"/>
            <w:vAlign w:val="center"/>
          </w:tcPr>
          <w:p>
            <w:pPr>
              <w:overflowPunct w:val="0"/>
              <w:adjustRightInd w:val="0"/>
              <w:snapToGrid w:val="0"/>
              <w:spacing w:line="400" w:lineRule="exact"/>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sz w:val="24"/>
                <w:szCs w:val="24"/>
                <w:lang w:val="en-US" w:eastAsia="zh-CN"/>
              </w:rPr>
              <w:t>2020</w:t>
            </w:r>
            <w:r>
              <w:rPr>
                <w:rFonts w:hint="eastAsia" w:ascii="仿宋" w:hAnsi="仿宋" w:eastAsia="仿宋" w:cs="仿宋"/>
                <w:sz w:val="24"/>
                <w:szCs w:val="24"/>
              </w:rPr>
              <w:t>年</w:t>
            </w:r>
            <w:r>
              <w:rPr>
                <w:rFonts w:hint="eastAsia" w:ascii="仿宋" w:hAnsi="仿宋" w:eastAsia="仿宋" w:cs="仿宋"/>
                <w:sz w:val="24"/>
                <w:szCs w:val="24"/>
                <w:lang w:val="en-US" w:eastAsia="zh-CN"/>
              </w:rPr>
              <w:t>底前</w:t>
            </w:r>
            <w:r>
              <w:rPr>
                <w:rFonts w:hint="eastAsia" w:ascii="仿宋" w:hAnsi="仿宋" w:eastAsia="仿宋" w:cs="仿宋"/>
                <w:sz w:val="24"/>
                <w:szCs w:val="24"/>
              </w:rPr>
              <w:t>培育新增农民合作社1</w:t>
            </w:r>
            <w:r>
              <w:rPr>
                <w:rFonts w:hint="eastAsia" w:ascii="仿宋" w:hAnsi="仿宋" w:eastAsia="仿宋" w:cs="仿宋"/>
                <w:sz w:val="24"/>
                <w:szCs w:val="24"/>
                <w:lang w:val="en-US" w:eastAsia="zh-CN"/>
              </w:rPr>
              <w:t>0</w:t>
            </w:r>
            <w:r>
              <w:rPr>
                <w:rFonts w:hint="eastAsia" w:ascii="仿宋" w:hAnsi="仿宋" w:eastAsia="仿宋" w:cs="仿宋"/>
                <w:sz w:val="24"/>
                <w:szCs w:val="24"/>
              </w:rPr>
              <w:t>0家（以实际完成情况为结算依据）、农民合作社联合社3家（以实际完成情况为结算依据），</w:t>
            </w:r>
            <w:r>
              <w:rPr>
                <w:rFonts w:hint="eastAsia" w:ascii="仿宋" w:hAnsi="仿宋" w:eastAsia="仿宋" w:cs="仿宋"/>
                <w:sz w:val="24"/>
                <w:szCs w:val="24"/>
                <w:lang w:val="en-US" w:eastAsia="zh-CN"/>
              </w:rPr>
              <w:t>2021年底前培育新增农民合作社100家</w:t>
            </w:r>
            <w:r>
              <w:rPr>
                <w:rFonts w:hint="eastAsia" w:ascii="仿宋" w:hAnsi="仿宋" w:eastAsia="仿宋" w:cs="仿宋"/>
                <w:sz w:val="24"/>
                <w:szCs w:val="24"/>
              </w:rPr>
              <w:t>（以实际完成情况为结算依据）、农民合作社联合社3家（以实际完成情况为结算依据），并帮助新成立的合作社或联合社完成机构设置和制度建设（经服务中心培育的，给予服务中心每增一家补助</w:t>
            </w:r>
            <w:r>
              <w:rPr>
                <w:rFonts w:hint="eastAsia" w:ascii="仿宋" w:hAnsi="仿宋" w:eastAsia="仿宋" w:cs="仿宋"/>
                <w:sz w:val="24"/>
                <w:szCs w:val="24"/>
                <w:lang w:val="en-US" w:eastAsia="zh-CN"/>
              </w:rPr>
              <w:t>10</w:t>
            </w:r>
            <w:r>
              <w:rPr>
                <w:rFonts w:hint="eastAsia" w:ascii="仿宋" w:hAnsi="仿宋" w:eastAsia="仿宋" w:cs="仿宋"/>
                <w:sz w:val="24"/>
                <w:szCs w:val="24"/>
              </w:rPr>
              <w:t>00元，以实际培育注册数量为准）</w:t>
            </w:r>
            <w:r>
              <w:rPr>
                <w:rFonts w:hint="eastAsia" w:ascii="仿宋" w:hAnsi="仿宋" w:eastAsia="仿宋" w:cs="仿宋"/>
                <w:sz w:val="24"/>
                <w:szCs w:val="24"/>
                <w:lang w:eastAsia="zh-CN"/>
              </w:rPr>
              <w:t>。</w:t>
            </w:r>
          </w:p>
        </w:tc>
        <w:tc>
          <w:tcPr>
            <w:tcW w:w="1228"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103000</w:t>
            </w:r>
          </w:p>
        </w:tc>
        <w:tc>
          <w:tcPr>
            <w:tcW w:w="1056"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103000</w:t>
            </w:r>
          </w:p>
        </w:tc>
        <w:tc>
          <w:tcPr>
            <w:tcW w:w="1126"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4" w:hRule="atLeast"/>
        </w:trPr>
        <w:tc>
          <w:tcPr>
            <w:tcW w:w="550" w:type="dxa"/>
            <w:vAlign w:val="center"/>
          </w:tcPr>
          <w:p>
            <w:pPr>
              <w:overflowPunct w:val="0"/>
              <w:adjustRightInd w:val="0"/>
              <w:snapToGrid w:val="0"/>
              <w:spacing w:line="48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217" w:type="dxa"/>
            <w:vAlign w:val="center"/>
          </w:tcPr>
          <w:p>
            <w:pPr>
              <w:overflowPunct w:val="0"/>
              <w:adjustRightInd w:val="0"/>
              <w:snapToGrid w:val="0"/>
              <w:spacing w:line="4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财务代理和完善制度建设</w:t>
            </w:r>
          </w:p>
        </w:tc>
        <w:tc>
          <w:tcPr>
            <w:tcW w:w="3966" w:type="dxa"/>
            <w:vAlign w:val="center"/>
          </w:tcPr>
          <w:p>
            <w:pPr>
              <w:overflowPunct w:val="0"/>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2020年完成</w:t>
            </w:r>
            <w:r>
              <w:rPr>
                <w:rFonts w:hint="eastAsia" w:ascii="仿宋" w:hAnsi="仿宋" w:eastAsia="仿宋" w:cs="仿宋"/>
                <w:sz w:val="24"/>
                <w:szCs w:val="24"/>
                <w:lang w:val="en-US" w:eastAsia="zh-CN"/>
              </w:rPr>
              <w:t>新增1</w:t>
            </w:r>
            <w:r>
              <w:rPr>
                <w:rFonts w:hint="eastAsia" w:ascii="仿宋" w:hAnsi="仿宋" w:eastAsia="仿宋" w:cs="仿宋"/>
                <w:sz w:val="24"/>
                <w:szCs w:val="24"/>
              </w:rPr>
              <w:t>00家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原有30家</w:t>
            </w:r>
            <w:r>
              <w:rPr>
                <w:rFonts w:hint="eastAsia" w:ascii="仿宋" w:hAnsi="仿宋" w:eastAsia="仿宋" w:cs="仿宋"/>
                <w:sz w:val="24"/>
                <w:szCs w:val="24"/>
              </w:rPr>
              <w:t>（以实际完成情况为结算依据）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2021年完成新增100家，原有100家</w:t>
            </w:r>
            <w:r>
              <w:rPr>
                <w:rFonts w:hint="eastAsia" w:ascii="仿宋" w:hAnsi="仿宋" w:eastAsia="仿宋" w:cs="仿宋"/>
                <w:sz w:val="24"/>
                <w:szCs w:val="24"/>
              </w:rPr>
              <w:t>（以实际完成情况为结算依据）农民合作社（包括示范社）提供财务管理基本服务和完善各项制度。接受服务的农民合作社的财务管理能够按要求完成并经得起上级的检查和验收（以实际为农民合作社提供服务的数量为准进行补助，服务每家补助服务中心</w:t>
            </w:r>
            <w:r>
              <w:rPr>
                <w:rFonts w:hint="eastAsia" w:ascii="仿宋" w:hAnsi="仿宋" w:eastAsia="仿宋" w:cs="仿宋"/>
                <w:sz w:val="24"/>
                <w:szCs w:val="24"/>
                <w:lang w:val="en-US" w:eastAsia="zh-CN"/>
              </w:rPr>
              <w:t>1</w:t>
            </w:r>
            <w:r>
              <w:rPr>
                <w:rFonts w:hint="eastAsia" w:ascii="仿宋" w:hAnsi="仿宋" w:eastAsia="仿宋" w:cs="仿宋"/>
                <w:sz w:val="24"/>
                <w:szCs w:val="24"/>
              </w:rPr>
              <w:t>000元</w:t>
            </w:r>
            <w:r>
              <w:rPr>
                <w:rFonts w:hint="eastAsia" w:ascii="仿宋" w:hAnsi="仿宋" w:eastAsia="仿宋" w:cs="仿宋"/>
                <w:sz w:val="24"/>
                <w:szCs w:val="24"/>
                <w:lang w:val="en-US" w:eastAsia="zh-CN"/>
              </w:rPr>
              <w:t>/年</w:t>
            </w:r>
            <w:r>
              <w:rPr>
                <w:rFonts w:hint="eastAsia" w:ascii="仿宋" w:hAnsi="仿宋" w:eastAsia="仿宋" w:cs="仿宋"/>
                <w:sz w:val="24"/>
                <w:szCs w:val="24"/>
              </w:rPr>
              <w:t>，已在1项中补助的不属于本项补助）。</w:t>
            </w:r>
          </w:p>
        </w:tc>
        <w:tc>
          <w:tcPr>
            <w:tcW w:w="1228"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130000</w:t>
            </w:r>
          </w:p>
        </w:tc>
        <w:tc>
          <w:tcPr>
            <w:tcW w:w="1056"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200000</w:t>
            </w:r>
          </w:p>
        </w:tc>
        <w:tc>
          <w:tcPr>
            <w:tcW w:w="1126"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330000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4" w:hRule="atLeast"/>
        </w:trPr>
        <w:tc>
          <w:tcPr>
            <w:tcW w:w="550" w:type="dxa"/>
            <w:vAlign w:val="center"/>
          </w:tcPr>
          <w:p>
            <w:pPr>
              <w:overflowPunct w:val="0"/>
              <w:adjustRightInd w:val="0"/>
              <w:snapToGrid w:val="0"/>
              <w:spacing w:line="48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217" w:type="dxa"/>
            <w:vAlign w:val="center"/>
          </w:tcPr>
          <w:p>
            <w:pPr>
              <w:overflowPunct w:val="0"/>
              <w:adjustRightInd w:val="0"/>
              <w:snapToGrid w:val="0"/>
              <w:spacing w:line="4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规模生产的经营主体情况摸底</w:t>
            </w:r>
          </w:p>
        </w:tc>
        <w:tc>
          <w:tcPr>
            <w:tcW w:w="3966" w:type="dxa"/>
            <w:vAlign w:val="center"/>
          </w:tcPr>
          <w:p>
            <w:pPr>
              <w:overflowPunct w:val="0"/>
              <w:adjustRightInd w:val="0"/>
              <w:snapToGrid w:val="0"/>
              <w:spacing w:line="400" w:lineRule="exact"/>
              <w:jc w:val="both"/>
              <w:rPr>
                <w:rFonts w:hint="eastAsia" w:ascii="仿宋" w:hAnsi="仿宋" w:eastAsia="仿宋" w:cs="仿宋"/>
                <w:sz w:val="24"/>
                <w:szCs w:val="24"/>
              </w:rPr>
            </w:pPr>
            <w:r>
              <w:rPr>
                <w:rFonts w:hint="eastAsia" w:ascii="仿宋" w:hAnsi="仿宋" w:eastAsia="仿宋" w:cs="仿宋"/>
                <w:sz w:val="24"/>
                <w:szCs w:val="24"/>
              </w:rPr>
              <w:t>2020年完成调查摸底</w:t>
            </w:r>
            <w:r>
              <w:rPr>
                <w:rFonts w:hint="eastAsia" w:ascii="仿宋" w:hAnsi="仿宋" w:eastAsia="仿宋" w:cs="仿宋"/>
                <w:sz w:val="24"/>
                <w:szCs w:val="24"/>
                <w:lang w:val="en-US" w:eastAsia="zh-CN"/>
              </w:rPr>
              <w:t>13</w:t>
            </w:r>
            <w:r>
              <w:rPr>
                <w:rFonts w:hint="eastAsia" w:ascii="仿宋" w:hAnsi="仿宋" w:eastAsia="仿宋" w:cs="仿宋"/>
                <w:sz w:val="24"/>
                <w:szCs w:val="24"/>
              </w:rPr>
              <w:t>0家家庭农场、种养大户等经营主体</w:t>
            </w:r>
            <w:r>
              <w:rPr>
                <w:rFonts w:hint="eastAsia" w:ascii="仿宋" w:hAnsi="仿宋" w:eastAsia="仿宋" w:cs="仿宋"/>
                <w:sz w:val="24"/>
                <w:szCs w:val="24"/>
                <w:lang w:val="en-US" w:eastAsia="zh-CN"/>
              </w:rPr>
              <w:t>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2021年完成200家</w:t>
            </w:r>
            <w:r>
              <w:rPr>
                <w:rFonts w:hint="eastAsia" w:ascii="仿宋" w:hAnsi="仿宋" w:eastAsia="仿宋" w:cs="仿宋"/>
                <w:sz w:val="24"/>
                <w:szCs w:val="24"/>
              </w:rPr>
              <w:t>家庭农场、种养大户等经营主体</w:t>
            </w:r>
            <w:r>
              <w:rPr>
                <w:rFonts w:hint="eastAsia" w:ascii="仿宋" w:hAnsi="仿宋" w:eastAsia="仿宋" w:cs="仿宋"/>
                <w:sz w:val="24"/>
                <w:szCs w:val="24"/>
                <w:lang w:val="en-US" w:eastAsia="zh-CN"/>
              </w:rPr>
              <w:t>情况，并完成《全国家庭农场名录系统（麻章区）》录入工作</w:t>
            </w:r>
            <w:r>
              <w:rPr>
                <w:rFonts w:hint="eastAsia" w:ascii="仿宋" w:hAnsi="仿宋" w:eastAsia="仿宋" w:cs="仿宋"/>
                <w:sz w:val="24"/>
                <w:szCs w:val="24"/>
              </w:rPr>
              <w:t>。（完成摸底调查每个家庭农场、种养大户给服务中心补助</w:t>
            </w:r>
            <w:r>
              <w:rPr>
                <w:rFonts w:hint="eastAsia" w:ascii="仿宋" w:hAnsi="仿宋" w:eastAsia="仿宋" w:cs="仿宋"/>
                <w:sz w:val="24"/>
                <w:szCs w:val="24"/>
                <w:lang w:val="en-US" w:eastAsia="zh-CN"/>
              </w:rPr>
              <w:t>1</w:t>
            </w:r>
            <w:r>
              <w:rPr>
                <w:rFonts w:hint="eastAsia" w:ascii="仿宋" w:hAnsi="仿宋" w:eastAsia="仿宋" w:cs="仿宋"/>
                <w:sz w:val="24"/>
                <w:szCs w:val="24"/>
              </w:rPr>
              <w:t>00元</w:t>
            </w:r>
            <w:r>
              <w:rPr>
                <w:rFonts w:hint="eastAsia" w:ascii="仿宋" w:hAnsi="仿宋" w:eastAsia="仿宋" w:cs="仿宋"/>
                <w:sz w:val="24"/>
                <w:szCs w:val="24"/>
                <w:lang w:eastAsia="zh-CN"/>
              </w:rPr>
              <w:t>，</w:t>
            </w:r>
            <w:r>
              <w:rPr>
                <w:rFonts w:hint="eastAsia" w:ascii="仿宋" w:hAnsi="仿宋" w:eastAsia="仿宋" w:cs="仿宋"/>
                <w:sz w:val="24"/>
                <w:szCs w:val="24"/>
              </w:rPr>
              <w:t>以实际完成情况为结算依据）</w:t>
            </w:r>
          </w:p>
        </w:tc>
        <w:tc>
          <w:tcPr>
            <w:tcW w:w="1228"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13000</w:t>
            </w:r>
          </w:p>
        </w:tc>
        <w:tc>
          <w:tcPr>
            <w:tcW w:w="1056"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20000</w:t>
            </w:r>
          </w:p>
        </w:tc>
        <w:tc>
          <w:tcPr>
            <w:tcW w:w="1126"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4" w:hRule="atLeast"/>
        </w:trPr>
        <w:tc>
          <w:tcPr>
            <w:tcW w:w="550" w:type="dxa"/>
            <w:vAlign w:val="center"/>
          </w:tcPr>
          <w:p>
            <w:pPr>
              <w:overflowPunct w:val="0"/>
              <w:adjustRightInd w:val="0"/>
              <w:snapToGrid w:val="0"/>
              <w:spacing w:line="48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217" w:type="dxa"/>
            <w:vAlign w:val="center"/>
          </w:tcPr>
          <w:p>
            <w:pPr>
              <w:overflowPunct w:val="0"/>
              <w:adjustRightInd w:val="0"/>
              <w:snapToGrid w:val="0"/>
              <w:spacing w:line="4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为农民合作社提供一次上门指导</w:t>
            </w:r>
          </w:p>
        </w:tc>
        <w:tc>
          <w:tcPr>
            <w:tcW w:w="3966" w:type="dxa"/>
            <w:vAlign w:val="center"/>
          </w:tcPr>
          <w:p>
            <w:pPr>
              <w:overflowPunct w:val="0"/>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完成</w:t>
            </w:r>
            <w:r>
              <w:rPr>
                <w:rFonts w:hint="eastAsia" w:ascii="仿宋" w:hAnsi="仿宋" w:eastAsia="仿宋" w:cs="仿宋"/>
                <w:sz w:val="24"/>
                <w:szCs w:val="24"/>
              </w:rPr>
              <w:t>2020年</w:t>
            </w:r>
            <w:r>
              <w:rPr>
                <w:rFonts w:hint="eastAsia" w:ascii="仿宋" w:hAnsi="仿宋" w:eastAsia="仿宋" w:cs="仿宋"/>
                <w:sz w:val="24"/>
                <w:szCs w:val="24"/>
                <w:lang w:val="en-US" w:eastAsia="zh-CN"/>
              </w:rPr>
              <w:t>13</w:t>
            </w:r>
            <w:r>
              <w:rPr>
                <w:rFonts w:hint="eastAsia" w:ascii="仿宋" w:hAnsi="仿宋" w:eastAsia="仿宋" w:cs="仿宋"/>
                <w:sz w:val="24"/>
                <w:szCs w:val="24"/>
              </w:rPr>
              <w:t>0家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2021年200家</w:t>
            </w:r>
            <w:r>
              <w:rPr>
                <w:rFonts w:hint="eastAsia" w:ascii="仿宋" w:hAnsi="仿宋" w:eastAsia="仿宋" w:cs="仿宋"/>
                <w:sz w:val="24"/>
                <w:szCs w:val="24"/>
              </w:rPr>
              <w:t>农民合作社进行上门指导和调查运营基本情况</w:t>
            </w:r>
            <w:r>
              <w:rPr>
                <w:rFonts w:hint="eastAsia" w:ascii="仿宋" w:hAnsi="仿宋" w:eastAsia="仿宋" w:cs="仿宋"/>
                <w:sz w:val="24"/>
                <w:szCs w:val="24"/>
                <w:lang w:val="en-US" w:eastAsia="zh-CN"/>
              </w:rPr>
              <w:t>及完成《广东省农民专业合作社信息管理系统（麻章区）》系统录入工作。</w:t>
            </w:r>
            <w:r>
              <w:rPr>
                <w:rFonts w:hint="eastAsia" w:ascii="仿宋" w:hAnsi="仿宋" w:eastAsia="仿宋" w:cs="仿宋"/>
                <w:sz w:val="24"/>
                <w:szCs w:val="24"/>
              </w:rPr>
              <w:t>（给服务中心服务一家农民合作社补助</w:t>
            </w:r>
            <w:r>
              <w:rPr>
                <w:rFonts w:hint="eastAsia" w:ascii="仿宋" w:hAnsi="仿宋" w:eastAsia="仿宋" w:cs="仿宋"/>
                <w:sz w:val="24"/>
                <w:szCs w:val="24"/>
                <w:lang w:val="en-US" w:eastAsia="zh-CN"/>
              </w:rPr>
              <w:t>1</w:t>
            </w:r>
            <w:r>
              <w:rPr>
                <w:rFonts w:hint="eastAsia" w:ascii="仿宋" w:hAnsi="仿宋" w:eastAsia="仿宋" w:cs="仿宋"/>
                <w:sz w:val="24"/>
                <w:szCs w:val="24"/>
              </w:rPr>
              <w:t>00元</w:t>
            </w:r>
            <w:r>
              <w:rPr>
                <w:rFonts w:hint="eastAsia" w:ascii="仿宋" w:hAnsi="仿宋" w:eastAsia="仿宋" w:cs="仿宋"/>
                <w:sz w:val="24"/>
                <w:szCs w:val="24"/>
                <w:lang w:eastAsia="zh-CN"/>
              </w:rPr>
              <w:t>，</w:t>
            </w:r>
            <w:r>
              <w:rPr>
                <w:rFonts w:hint="eastAsia" w:ascii="仿宋" w:hAnsi="仿宋" w:eastAsia="仿宋" w:cs="仿宋"/>
                <w:sz w:val="24"/>
                <w:szCs w:val="24"/>
              </w:rPr>
              <w:t>以实际完成情况为结算依据）</w:t>
            </w:r>
          </w:p>
        </w:tc>
        <w:tc>
          <w:tcPr>
            <w:tcW w:w="1228"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13000</w:t>
            </w:r>
          </w:p>
        </w:tc>
        <w:tc>
          <w:tcPr>
            <w:tcW w:w="1056"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20000</w:t>
            </w:r>
          </w:p>
        </w:tc>
        <w:tc>
          <w:tcPr>
            <w:tcW w:w="1126"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4" w:hRule="atLeast"/>
        </w:trPr>
        <w:tc>
          <w:tcPr>
            <w:tcW w:w="550" w:type="dxa"/>
            <w:vAlign w:val="center"/>
          </w:tcPr>
          <w:p>
            <w:pPr>
              <w:overflowPunct w:val="0"/>
              <w:adjustRightInd w:val="0"/>
              <w:snapToGrid w:val="0"/>
              <w:spacing w:line="48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217" w:type="dxa"/>
            <w:vAlign w:val="center"/>
          </w:tcPr>
          <w:p>
            <w:pPr>
              <w:overflowPunct w:val="0"/>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其他服务。</w:t>
            </w:r>
          </w:p>
        </w:tc>
        <w:tc>
          <w:tcPr>
            <w:tcW w:w="3966" w:type="dxa"/>
            <w:vAlign w:val="center"/>
          </w:tcPr>
          <w:p>
            <w:pPr>
              <w:overflowPunct w:val="0"/>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麻章区</w:t>
            </w:r>
            <w:r>
              <w:rPr>
                <w:rFonts w:hint="eastAsia" w:ascii="仿宋" w:hAnsi="仿宋" w:eastAsia="仿宋" w:cs="仿宋"/>
                <w:sz w:val="24"/>
                <w:szCs w:val="24"/>
              </w:rPr>
              <w:t>农业农村</w:t>
            </w:r>
            <w:r>
              <w:rPr>
                <w:rFonts w:hint="eastAsia" w:ascii="仿宋" w:hAnsi="仿宋" w:eastAsia="仿宋" w:cs="仿宋"/>
                <w:sz w:val="24"/>
                <w:szCs w:val="24"/>
                <w:lang w:val="en-US" w:eastAsia="zh-CN"/>
              </w:rPr>
              <w:t>和水务</w:t>
            </w:r>
            <w:r>
              <w:rPr>
                <w:rFonts w:hint="eastAsia" w:ascii="仿宋" w:hAnsi="仿宋" w:eastAsia="仿宋" w:cs="仿宋"/>
                <w:sz w:val="24"/>
                <w:szCs w:val="24"/>
              </w:rPr>
              <w:t>局委托的其他事项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①培训宣传资料、案例编撰等，以及办公场所修缮和配套相关办公设备；②聘用两名财务工作人员两年经费（5000元/月/人）</w:t>
            </w:r>
            <w:r>
              <w:rPr>
                <w:rFonts w:hint="eastAsia" w:ascii="仿宋" w:hAnsi="仿宋" w:eastAsia="仿宋" w:cs="仿宋"/>
                <w:sz w:val="24"/>
                <w:szCs w:val="24"/>
              </w:rPr>
              <w:t>。</w:t>
            </w:r>
          </w:p>
        </w:tc>
        <w:tc>
          <w:tcPr>
            <w:tcW w:w="1228" w:type="dxa"/>
            <w:vAlign w:val="center"/>
          </w:tcPr>
          <w:p>
            <w:pPr>
              <w:overflowPunct w:val="0"/>
              <w:adjustRightInd w:val="0"/>
              <w:snapToGrid w:val="0"/>
              <w:spacing w:line="4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①100000   ②120000</w:t>
            </w:r>
          </w:p>
        </w:tc>
        <w:tc>
          <w:tcPr>
            <w:tcW w:w="1056" w:type="dxa"/>
            <w:vAlign w:val="center"/>
          </w:tcPr>
          <w:p>
            <w:pPr>
              <w:overflowPunct w:val="0"/>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120000</w:t>
            </w:r>
          </w:p>
        </w:tc>
        <w:tc>
          <w:tcPr>
            <w:tcW w:w="1126" w:type="dxa"/>
            <w:vAlign w:val="center"/>
          </w:tcPr>
          <w:p>
            <w:pPr>
              <w:overflowPunct w:val="0"/>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4" w:hRule="atLeast"/>
        </w:trPr>
        <w:tc>
          <w:tcPr>
            <w:tcW w:w="550" w:type="dxa"/>
            <w:vAlign w:val="center"/>
          </w:tcPr>
          <w:p>
            <w:pPr>
              <w:overflowPunct w:val="0"/>
              <w:adjustRightInd w:val="0"/>
              <w:snapToGrid w:val="0"/>
              <w:spacing w:line="48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合计</w:t>
            </w:r>
          </w:p>
        </w:tc>
        <w:tc>
          <w:tcPr>
            <w:tcW w:w="1217" w:type="dxa"/>
            <w:vAlign w:val="center"/>
          </w:tcPr>
          <w:p>
            <w:pPr>
              <w:overflowPunct w:val="0"/>
              <w:adjustRightInd w:val="0"/>
              <w:snapToGrid w:val="0"/>
              <w:spacing w:line="480" w:lineRule="auto"/>
              <w:jc w:val="center"/>
              <w:rPr>
                <w:rFonts w:hint="eastAsia" w:ascii="仿宋" w:hAnsi="仿宋" w:eastAsia="仿宋" w:cs="仿宋"/>
                <w:color w:val="000000" w:themeColor="text1"/>
                <w:kern w:val="0"/>
                <w:sz w:val="24"/>
                <w:szCs w:val="24"/>
                <w14:textFill>
                  <w14:solidFill>
                    <w14:schemeClr w14:val="tx1"/>
                  </w14:solidFill>
                </w14:textFill>
              </w:rPr>
            </w:pPr>
          </w:p>
        </w:tc>
        <w:tc>
          <w:tcPr>
            <w:tcW w:w="3966" w:type="dxa"/>
          </w:tcPr>
          <w:p>
            <w:pPr>
              <w:overflowPunct w:val="0"/>
              <w:adjustRightInd w:val="0"/>
              <w:snapToGrid w:val="0"/>
              <w:spacing w:line="480" w:lineRule="auto"/>
              <w:jc w:val="center"/>
              <w:rPr>
                <w:rFonts w:hint="eastAsia" w:ascii="仿宋" w:hAnsi="仿宋" w:eastAsia="仿宋" w:cs="仿宋"/>
                <w:color w:val="000000" w:themeColor="text1"/>
                <w:kern w:val="0"/>
                <w:sz w:val="24"/>
                <w:szCs w:val="24"/>
                <w14:textFill>
                  <w14:solidFill>
                    <w14:schemeClr w14:val="tx1"/>
                  </w14:solidFill>
                </w14:textFill>
              </w:rPr>
            </w:pPr>
          </w:p>
        </w:tc>
        <w:tc>
          <w:tcPr>
            <w:tcW w:w="1228" w:type="dxa"/>
            <w:vAlign w:val="center"/>
          </w:tcPr>
          <w:p>
            <w:pPr>
              <w:bidi w:val="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479000</w:t>
            </w:r>
          </w:p>
        </w:tc>
        <w:tc>
          <w:tcPr>
            <w:tcW w:w="1056" w:type="dxa"/>
            <w:vAlign w:val="center"/>
          </w:tcPr>
          <w:p>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463000</w:t>
            </w:r>
          </w:p>
        </w:tc>
        <w:tc>
          <w:tcPr>
            <w:tcW w:w="1126" w:type="dxa"/>
            <w:vAlign w:val="center"/>
          </w:tcPr>
          <w:p>
            <w:pPr>
              <w:bidi w:val="0"/>
              <w:jc w:val="center"/>
              <w:rPr>
                <w:rFonts w:hint="default" w:ascii="仿宋" w:hAnsi="仿宋" w:eastAsia="仿宋" w:cs="仿宋"/>
                <w:sz w:val="24"/>
                <w:szCs w:val="24"/>
                <w:lang w:val="en-US" w:eastAsia="zh-CN"/>
              </w:rPr>
            </w:pPr>
            <w:r>
              <w:rPr>
                <w:rFonts w:hint="eastAsia" w:ascii="仿宋" w:hAnsi="仿宋" w:eastAsia="仿宋" w:cs="仿宋"/>
                <w:color w:val="000000" w:themeColor="text1"/>
                <w:kern w:val="0"/>
                <w:sz w:val="24"/>
                <w:szCs w:val="24"/>
                <w:lang w:val="en-US" w:eastAsia="zh-CN"/>
                <w14:textFill>
                  <w14:solidFill>
                    <w14:schemeClr w14:val="tx1"/>
                  </w14:solidFill>
                </w14:textFill>
              </w:rPr>
              <w:t>942000</w:t>
            </w:r>
          </w:p>
        </w:tc>
      </w:tr>
    </w:tbl>
    <w:p>
      <w:pPr>
        <w:shd w:val="clear" w:color="auto" w:fill="FFFFFF"/>
        <w:overflowPunct w:val="0"/>
        <w:adjustRightInd w:val="0"/>
        <w:snapToGrid w:val="0"/>
        <w:spacing w:line="560" w:lineRule="exact"/>
        <w:ind w:firstLine="630"/>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五、项目服务要求</w:t>
      </w:r>
    </w:p>
    <w:p>
      <w:pPr>
        <w:shd w:val="clear" w:color="auto" w:fill="FFFFFF"/>
        <w:overflowPunct w:val="0"/>
        <w:adjustRightInd w:val="0"/>
        <w:snapToGrid w:val="0"/>
        <w:spacing w:line="560" w:lineRule="exact"/>
        <w:ind w:firstLine="630"/>
        <w:rPr>
          <w:rFonts w:ascii="宋体" w:hAnsi="宋体" w:eastAsia="仿宋_GB2312" w:cs="仿宋_GB2312"/>
          <w:sz w:val="32"/>
          <w:szCs w:val="32"/>
        </w:rPr>
      </w:pPr>
      <w:r>
        <w:rPr>
          <w:rFonts w:hint="eastAsia" w:ascii="宋体" w:hAnsi="宋体" w:eastAsia="仿宋_GB2312" w:cs="仿宋_GB2312"/>
          <w:sz w:val="32"/>
          <w:szCs w:val="32"/>
        </w:rPr>
        <w:t>（一）服务中心必须根据财政部颁布的《农民专业合作社财务会计制度（试行》要求，为农民合作社做好财务记账和财务管理；做好农民合作社资产、负债、所有者权益和财务收支等会计核算工作；负责编制会计科目余额表、资产负责表、盈余及盈余分配表、权益变动表、成员账户、和财务情况说明书，确保支付手续资料完整归档；及时收集、整理、归档、保管会计资料，并确保会计资料真实、完整；代理农民合作社税务报表登记，并向有关单位和部门报送；指导农民合作社设立财政扶持资金专账；</w:t>
      </w:r>
    </w:p>
    <w:p>
      <w:pPr>
        <w:shd w:val="clear" w:color="auto" w:fill="FFFFFF"/>
        <w:overflowPunct w:val="0"/>
        <w:adjustRightInd w:val="0"/>
        <w:snapToGrid w:val="0"/>
        <w:spacing w:line="560" w:lineRule="exact"/>
        <w:ind w:firstLine="630"/>
        <w:rPr>
          <w:rFonts w:ascii="宋体" w:hAnsi="宋体" w:eastAsia="仿宋_GB2312" w:cs="仿宋_GB2312"/>
          <w:sz w:val="32"/>
          <w:szCs w:val="32"/>
        </w:rPr>
      </w:pPr>
      <w:r>
        <w:rPr>
          <w:rFonts w:hint="eastAsia" w:ascii="宋体" w:hAnsi="宋体" w:eastAsia="仿宋_GB2312" w:cs="仿宋_GB2312"/>
          <w:sz w:val="32"/>
          <w:szCs w:val="32"/>
        </w:rPr>
        <w:t>（二）服务中心要对辖区内的家庭农场、种养大户等经营主体开展深入调研和摸底摸查，充分了解各类主体和规模种养农户领办创办、加入农民合作社的意愿和想法，通过发放宣传手册等形式加大农民合作社政策的宣讲力度，积极鼓励引导成立合作社。</w:t>
      </w:r>
    </w:p>
    <w:p>
      <w:pPr>
        <w:shd w:val="clear" w:color="auto" w:fill="FFFFFF"/>
        <w:overflowPunct w:val="0"/>
        <w:adjustRightInd w:val="0"/>
        <w:snapToGrid w:val="0"/>
        <w:spacing w:line="560" w:lineRule="exact"/>
        <w:ind w:firstLine="630"/>
        <w:rPr>
          <w:rFonts w:ascii="宋体" w:hAnsi="宋体" w:eastAsia="仿宋_GB2312" w:cs="仿宋_GB2312"/>
          <w:sz w:val="32"/>
          <w:szCs w:val="32"/>
        </w:rPr>
      </w:pPr>
      <w:r>
        <w:rPr>
          <w:rFonts w:hint="eastAsia" w:ascii="宋体" w:hAnsi="宋体" w:eastAsia="仿宋_GB2312" w:cs="仿宋_GB2312"/>
          <w:sz w:val="32"/>
          <w:szCs w:val="32"/>
        </w:rPr>
        <w:t>（三）服务中心要为农民合作社提供一次上门指导服务，了解农民合作社经营情况、财务管理情况、主要需求等，进一步为其完善规章制度、健全财务制度、优化运营管理。</w:t>
      </w:r>
    </w:p>
    <w:p>
      <w:pPr>
        <w:shd w:val="clear" w:color="auto" w:fill="FFFFFF"/>
        <w:overflowPunct w:val="0"/>
        <w:adjustRightInd w:val="0"/>
        <w:snapToGrid w:val="0"/>
        <w:spacing w:line="560" w:lineRule="exact"/>
        <w:ind w:firstLine="630"/>
        <w:rPr>
          <w:rFonts w:ascii="宋体" w:hAnsi="宋体" w:eastAsia="仿宋_GB2312" w:cs="仿宋_GB2312"/>
          <w:sz w:val="32"/>
          <w:szCs w:val="32"/>
        </w:rPr>
      </w:pPr>
      <w:r>
        <w:rPr>
          <w:rFonts w:hint="eastAsia" w:ascii="宋体" w:hAnsi="宋体" w:eastAsia="仿宋_GB2312" w:cs="仿宋_GB2312"/>
          <w:sz w:val="32"/>
          <w:szCs w:val="32"/>
        </w:rPr>
        <w:t>（四）服务中心要对本项目实施过程中的所有资料、数据负有保密责任，同时接受</w:t>
      </w:r>
      <w:r>
        <w:rPr>
          <w:rFonts w:hint="eastAsia" w:ascii="宋体" w:hAnsi="宋体" w:eastAsia="仿宋_GB2312" w:cs="仿宋_GB2312"/>
          <w:sz w:val="32"/>
          <w:szCs w:val="32"/>
          <w:lang w:val="en-US" w:eastAsia="zh-CN"/>
        </w:rPr>
        <w:t>麻章区农业农村和水务局及</w:t>
      </w:r>
      <w:r>
        <w:rPr>
          <w:rFonts w:hint="eastAsia" w:ascii="宋体" w:hAnsi="宋体" w:eastAsia="仿宋_GB2312" w:cs="仿宋_GB2312"/>
          <w:sz w:val="32"/>
          <w:szCs w:val="32"/>
        </w:rPr>
        <w:t>上级部门的监督和指导。</w:t>
      </w:r>
    </w:p>
    <w:p>
      <w:pPr>
        <w:overflowPunct w:val="0"/>
        <w:adjustRightInd w:val="0"/>
        <w:snapToGrid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（五）服务中心</w:t>
      </w:r>
      <w:r>
        <w:rPr>
          <w:rFonts w:hint="eastAsia" w:ascii="宋体" w:hAnsi="宋体" w:eastAsia="仿宋_GB2312" w:cs="仿宋_GB2312"/>
          <w:sz w:val="32"/>
          <w:szCs w:val="32"/>
          <w:lang w:val="en-US" w:eastAsia="zh-CN"/>
        </w:rPr>
        <w:t>需按本方案约定履行服务，完成基本工作任务，</w:t>
      </w:r>
      <w:r>
        <w:rPr>
          <w:rFonts w:hint="eastAsia" w:ascii="宋体" w:hAnsi="宋体" w:eastAsia="仿宋_GB2312" w:cs="仿宋_GB2312"/>
          <w:sz w:val="32"/>
          <w:szCs w:val="32"/>
        </w:rPr>
        <w:t>不得以</w:t>
      </w:r>
      <w:r>
        <w:rPr>
          <w:rFonts w:hint="eastAsia" w:ascii="宋体" w:hAnsi="宋体" w:eastAsia="仿宋_GB2312" w:cs="仿宋_GB2312"/>
          <w:sz w:val="32"/>
          <w:szCs w:val="32"/>
          <w:lang w:val="en-US" w:eastAsia="zh-CN"/>
        </w:rPr>
        <w:t>麻章区</w:t>
      </w:r>
      <w:r>
        <w:rPr>
          <w:rFonts w:hint="eastAsia" w:ascii="宋体" w:hAnsi="宋体" w:eastAsia="仿宋_GB2312" w:cs="仿宋_GB2312"/>
          <w:sz w:val="32"/>
          <w:szCs w:val="32"/>
        </w:rPr>
        <w:t>农业农村</w:t>
      </w:r>
      <w:r>
        <w:rPr>
          <w:rFonts w:hint="eastAsia" w:ascii="宋体" w:hAnsi="宋体" w:eastAsia="仿宋_GB2312" w:cs="仿宋_GB2312"/>
          <w:sz w:val="32"/>
          <w:szCs w:val="32"/>
          <w:lang w:val="en-US" w:eastAsia="zh-CN"/>
        </w:rPr>
        <w:t>和水务局</w:t>
      </w:r>
      <w:r>
        <w:rPr>
          <w:rFonts w:hint="eastAsia" w:ascii="宋体" w:hAnsi="宋体" w:eastAsia="仿宋_GB2312" w:cs="仿宋_GB2312"/>
          <w:sz w:val="32"/>
          <w:szCs w:val="32"/>
        </w:rPr>
        <w:t>名义开展工作。当地政府已采购项目，服务中心不得向经营主体再收取费用。政策确实允许收费的项目，</w:t>
      </w:r>
      <w:r>
        <w:rPr>
          <w:rFonts w:hint="eastAsia" w:ascii="宋体" w:hAnsi="宋体" w:eastAsia="仿宋_GB2312" w:cs="仿宋_GB2312"/>
          <w:sz w:val="32"/>
          <w:szCs w:val="32"/>
          <w:lang w:val="en-US" w:eastAsia="zh-CN"/>
        </w:rPr>
        <w:t>需按规定经相关职能部门批准</w:t>
      </w:r>
      <w:r>
        <w:rPr>
          <w:rFonts w:hint="eastAsia" w:ascii="宋体" w:hAnsi="宋体" w:eastAsia="仿宋_GB2312" w:cs="仿宋_GB2312"/>
          <w:sz w:val="32"/>
          <w:szCs w:val="32"/>
        </w:rPr>
        <w:t>收费</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项目收费标准要</w:t>
      </w:r>
      <w:r>
        <w:rPr>
          <w:rFonts w:hint="eastAsia" w:ascii="宋体" w:hAnsi="宋体" w:eastAsia="仿宋_GB2312" w:cs="仿宋_GB2312"/>
          <w:sz w:val="32"/>
          <w:szCs w:val="32"/>
          <w:lang w:val="en-US" w:eastAsia="zh-CN"/>
        </w:rPr>
        <w:t>做到</w:t>
      </w:r>
      <w:r>
        <w:rPr>
          <w:rFonts w:hint="eastAsia" w:ascii="宋体" w:hAnsi="宋体" w:eastAsia="仿宋_GB2312" w:cs="仿宋_GB2312"/>
          <w:sz w:val="32"/>
          <w:szCs w:val="32"/>
        </w:rPr>
        <w:t>公开公正。</w:t>
      </w:r>
    </w:p>
    <w:p>
      <w:pPr>
        <w:overflowPunct w:val="0"/>
        <w:adjustRightInd w:val="0"/>
        <w:snapToGrid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（六）服务中心要统一外观标识、健全各项规章制度、逐步实现服务内容的标准化、规范化。支持各服务中心通过信息化手段实现协同办公，加强信息交流和资源优化配置。</w:t>
      </w:r>
    </w:p>
    <w:p>
      <w:pPr>
        <w:shd w:val="clear" w:color="auto" w:fill="FFFFFF"/>
        <w:overflowPunct w:val="0"/>
        <w:adjustRightInd w:val="0"/>
        <w:snapToGrid w:val="0"/>
        <w:spacing w:line="560" w:lineRule="exact"/>
        <w:ind w:firstLine="630"/>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sz w:val="32"/>
          <w:szCs w:val="32"/>
        </w:rPr>
        <w:t>六、</w:t>
      </w:r>
      <w:r>
        <w:rPr>
          <w:rFonts w:hint="eastAsia" w:ascii="黑体" w:hAnsi="黑体" w:eastAsia="黑体" w:cs="黑体"/>
          <w:b/>
          <w:color w:val="000000" w:themeColor="text1"/>
          <w:kern w:val="0"/>
          <w:sz w:val="32"/>
          <w:szCs w:val="32"/>
          <w14:textFill>
            <w14:solidFill>
              <w14:schemeClr w14:val="tx1"/>
            </w14:solidFill>
          </w14:textFill>
        </w:rPr>
        <w:t>项目验收</w:t>
      </w:r>
    </w:p>
    <w:p>
      <w:pPr>
        <w:shd w:val="clear" w:color="auto" w:fill="FFFFFF"/>
        <w:overflowPunct w:val="0"/>
        <w:adjustRightInd w:val="0"/>
        <w:snapToGrid w:val="0"/>
        <w:spacing w:line="560" w:lineRule="exact"/>
        <w:ind w:firstLine="630"/>
        <w:rPr>
          <w:rFonts w:ascii="宋体" w:hAnsi="宋体" w:eastAsia="仿宋_GB2312" w:cs="仿宋_GB2312"/>
          <w:sz w:val="32"/>
          <w:szCs w:val="32"/>
        </w:rPr>
      </w:pPr>
      <w:r>
        <w:rPr>
          <w:rFonts w:hint="eastAsia" w:ascii="宋体" w:hAnsi="宋体" w:eastAsia="仿宋_GB2312" w:cs="仿宋_GB2312"/>
          <w:sz w:val="32"/>
          <w:szCs w:val="32"/>
        </w:rPr>
        <w:t>服务中心必须提供接受服务的农民合作社年度会计科目余额表、资产负责表、盈余及盈余分配表、权益变动表、成员账户和财务情况说明书，以及经营主体需求表和农民合作社信息调度表，提交的资料必须经接受服务的农民合作社和经营主体盖章确认。</w:t>
      </w:r>
      <w:r>
        <w:rPr>
          <w:rFonts w:hint="eastAsia" w:ascii="宋体" w:hAnsi="宋体" w:eastAsia="仿宋_GB2312" w:cs="仿宋_GB2312"/>
          <w:sz w:val="32"/>
          <w:szCs w:val="32"/>
          <w:lang w:val="en-US" w:eastAsia="zh-CN"/>
        </w:rPr>
        <w:t>麻章区农业农村和水务局</w:t>
      </w:r>
      <w:r>
        <w:rPr>
          <w:rFonts w:hint="eastAsia" w:ascii="宋体" w:hAnsi="宋体" w:eastAsia="仿宋_GB2312" w:cs="仿宋_GB2312"/>
          <w:sz w:val="32"/>
          <w:szCs w:val="32"/>
        </w:rPr>
        <w:t>将组织有关人员对服务质量和数量进行核实，</w:t>
      </w:r>
      <w:r>
        <w:rPr>
          <w:rFonts w:hint="eastAsia" w:ascii="宋体" w:hAnsi="宋体" w:eastAsia="仿宋_GB2312" w:cs="仿宋_GB2312"/>
          <w:sz w:val="32"/>
          <w:szCs w:val="32"/>
          <w:lang w:val="en-US" w:eastAsia="zh-CN"/>
        </w:rPr>
        <w:t>以确认支出实际发生额为准</w:t>
      </w:r>
      <w:r>
        <w:rPr>
          <w:rFonts w:hint="eastAsia" w:ascii="仿宋_GB2312" w:hAnsi="微软雅黑" w:eastAsia="仿宋_GB2312" w:cs="宋体"/>
          <w:b/>
          <w:color w:val="000000" w:themeColor="text1"/>
          <w:kern w:val="0"/>
          <w:sz w:val="32"/>
          <w:szCs w:val="32"/>
          <w14:textFill>
            <w14:solidFill>
              <w14:schemeClr w14:val="tx1"/>
            </w14:solidFill>
          </w14:textFill>
        </w:rPr>
        <w:t>。</w:t>
      </w:r>
    </w:p>
    <w:p>
      <w:pPr>
        <w:shd w:val="clear" w:color="auto" w:fill="FFFFFF"/>
        <w:overflowPunct w:val="0"/>
        <w:adjustRightInd w:val="0"/>
        <w:snapToGrid w:val="0"/>
        <w:spacing w:line="560" w:lineRule="exact"/>
        <w:ind w:firstLine="630"/>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七、服务主体遴选条件</w:t>
      </w:r>
    </w:p>
    <w:p>
      <w:pPr>
        <w:shd w:val="clear" w:color="auto" w:fill="FFFFFF"/>
        <w:overflowPunct w:val="0"/>
        <w:adjustRightInd w:val="0"/>
        <w:snapToGrid w:val="0"/>
        <w:spacing w:line="560" w:lineRule="exact"/>
        <w:ind w:firstLine="630"/>
        <w:rPr>
          <w:rFonts w:ascii="宋体" w:hAnsi="宋体" w:eastAsia="仿宋_GB2312" w:cs="仿宋_GB2312"/>
          <w:sz w:val="32"/>
          <w:szCs w:val="32"/>
        </w:rPr>
      </w:pPr>
      <w:r>
        <w:rPr>
          <w:rFonts w:hint="eastAsia" w:ascii="宋体" w:hAnsi="宋体" w:eastAsia="仿宋_GB2312" w:cs="仿宋_GB2312"/>
          <w:sz w:val="32"/>
          <w:szCs w:val="32"/>
          <w:lang w:val="en-US" w:eastAsia="zh-CN"/>
        </w:rPr>
        <w:t>我区</w:t>
      </w:r>
      <w:r>
        <w:rPr>
          <w:rFonts w:hint="eastAsia" w:ascii="仿宋" w:hAnsi="仿宋" w:eastAsia="仿宋" w:cs="仿宋"/>
          <w:sz w:val="32"/>
          <w:szCs w:val="32"/>
        </w:rPr>
        <w:t>作</w:t>
      </w:r>
      <w:r>
        <w:rPr>
          <w:rFonts w:hint="eastAsia" w:ascii="仿宋" w:hAnsi="仿宋" w:eastAsia="仿宋" w:cs="仿宋"/>
          <w:sz w:val="32"/>
          <w:szCs w:val="32"/>
          <w:lang w:val="en-US" w:eastAsia="zh-CN"/>
        </w:rPr>
        <w:t>为2020</w:t>
      </w:r>
      <w:r>
        <w:rPr>
          <w:rFonts w:hint="eastAsia" w:ascii="宋体" w:hAnsi="宋体" w:eastAsia="仿宋_GB2312" w:cs="仿宋_GB2312"/>
          <w:sz w:val="32"/>
          <w:szCs w:val="32"/>
        </w:rPr>
        <w:t>年全国农民合作社质量提升整县推进试点单位，农民合作社</w:t>
      </w:r>
      <w:r>
        <w:rPr>
          <w:rFonts w:hint="eastAsia" w:ascii="宋体" w:hAnsi="宋体" w:eastAsia="仿宋_GB2312" w:cs="仿宋_GB2312"/>
          <w:sz w:val="32"/>
          <w:szCs w:val="32"/>
          <w:lang w:val="en-US" w:eastAsia="zh-CN"/>
        </w:rPr>
        <w:t>发展空间大</w:t>
      </w:r>
      <w:r>
        <w:rPr>
          <w:rFonts w:hint="eastAsia" w:ascii="宋体" w:hAnsi="宋体" w:eastAsia="仿宋_GB2312" w:cs="仿宋_GB2312"/>
          <w:sz w:val="32"/>
          <w:szCs w:val="32"/>
        </w:rPr>
        <w:t>，发展培育及质量提升农民合作社任务重，为更好完成工作任务，拟遴选服务中心服务主体1个。</w:t>
      </w:r>
    </w:p>
    <w:p>
      <w:pPr>
        <w:shd w:val="clear" w:color="auto" w:fill="FFFFFF"/>
        <w:overflowPunct w:val="0"/>
        <w:adjustRightInd w:val="0"/>
        <w:snapToGrid w:val="0"/>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宋体" w:hAnsi="宋体" w:eastAsia="仿宋_GB2312" w:cs="仿宋_GB2312"/>
          <w:sz w:val="32"/>
          <w:szCs w:val="32"/>
        </w:rPr>
        <w:t>（一）农民合作社服务中心承接服务主体在具有较强服务能力的农民合作社、农民合作社联合社、涉农服务企业等主体中择优遴选。</w:t>
      </w:r>
      <w:r>
        <w:rPr>
          <w:rFonts w:hint="eastAsia" w:ascii="仿宋_GB2312" w:hAnsi="微软雅黑" w:eastAsia="仿宋_GB2312" w:cs="宋体"/>
          <w:color w:val="000000" w:themeColor="text1"/>
          <w:kern w:val="0"/>
          <w:sz w:val="32"/>
          <w:szCs w:val="32"/>
          <w14:textFill>
            <w14:solidFill>
              <w14:schemeClr w14:val="tx1"/>
            </w14:solidFill>
          </w14:textFill>
        </w:rPr>
        <w:t>　　</w:t>
      </w:r>
    </w:p>
    <w:p>
      <w:pPr>
        <w:shd w:val="clear" w:color="auto" w:fill="FFFFFF"/>
        <w:overflowPunct w:val="0"/>
        <w:adjustRightInd w:val="0"/>
        <w:snapToGrid w:val="0"/>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（二）承接方必须具有独立法人资格，</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应具备</w:t>
      </w:r>
      <w:r>
        <w:rPr>
          <w:rFonts w:hint="eastAsia" w:ascii="仿宋_GB2312" w:hAnsi="微软雅黑" w:eastAsia="仿宋_GB2312" w:cs="宋体"/>
          <w:color w:val="000000" w:themeColor="text1"/>
          <w:kern w:val="0"/>
          <w:sz w:val="32"/>
          <w:szCs w:val="32"/>
          <w14:textFill>
            <w14:solidFill>
              <w14:schemeClr w14:val="tx1"/>
            </w14:solidFill>
          </w14:textFill>
        </w:rPr>
        <w:t>会计咨询，记账服务、会计代理、财务咨询服务等</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能力</w:t>
      </w:r>
      <w:r>
        <w:rPr>
          <w:rFonts w:hint="eastAsia" w:ascii="仿宋_GB2312" w:hAnsi="微软雅黑" w:eastAsia="仿宋_GB2312" w:cs="宋体"/>
          <w:color w:val="000000" w:themeColor="text1"/>
          <w:kern w:val="0"/>
          <w:sz w:val="32"/>
          <w:szCs w:val="32"/>
          <w14:textFill>
            <w14:solidFill>
              <w14:schemeClr w14:val="tx1"/>
            </w14:solidFill>
          </w14:textFill>
        </w:rPr>
        <w:t>，配备专业的会计人员，具有健全的财务会计部门和完善的财务管理制度</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熟悉《中华人民共和国农民专业合作社法》《农民专业合作社示范章程》《农民专业合作社联合社示范章程》等相关法律和章程，掌握农民专业合作社注册登记、年审、财务、金融保险、项目申报、运营管理等方法。</w:t>
      </w:r>
    </w:p>
    <w:p>
      <w:pPr>
        <w:shd w:val="clear" w:color="auto" w:fill="FFFFFF"/>
        <w:overflowPunct w:val="0"/>
        <w:adjustRightInd w:val="0"/>
        <w:snapToGrid w:val="0"/>
        <w:spacing w:line="560" w:lineRule="exact"/>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（三）</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无偿</w:t>
      </w:r>
      <w:r>
        <w:rPr>
          <w:rFonts w:hint="eastAsia" w:ascii="仿宋_GB2312" w:hAnsi="微软雅黑" w:eastAsia="仿宋_GB2312" w:cs="宋体"/>
          <w:color w:val="000000" w:themeColor="text1"/>
          <w:kern w:val="0"/>
          <w:sz w:val="32"/>
          <w:szCs w:val="32"/>
          <w14:textFill>
            <w14:solidFill>
              <w14:schemeClr w14:val="tx1"/>
            </w14:solidFill>
          </w14:textFill>
        </w:rPr>
        <w:t>在</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麻章区辖区内提供交通便利的固</w:t>
      </w:r>
      <w:r>
        <w:rPr>
          <w:rFonts w:hint="eastAsia" w:ascii="仿宋_GB2312" w:hAnsi="微软雅黑" w:eastAsia="仿宋_GB2312" w:cs="宋体"/>
          <w:color w:val="000000" w:themeColor="text1"/>
          <w:kern w:val="0"/>
          <w:sz w:val="32"/>
          <w:szCs w:val="32"/>
          <w14:textFill>
            <w14:solidFill>
              <w14:schemeClr w14:val="tx1"/>
            </w14:solidFill>
          </w14:textFill>
        </w:rPr>
        <w:t>定办公</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服务</w:t>
      </w:r>
      <w:r>
        <w:rPr>
          <w:rFonts w:hint="eastAsia" w:ascii="仿宋_GB2312" w:hAnsi="微软雅黑" w:eastAsia="仿宋_GB2312" w:cs="宋体"/>
          <w:color w:val="000000" w:themeColor="text1"/>
          <w:kern w:val="0"/>
          <w:sz w:val="32"/>
          <w:szCs w:val="32"/>
          <w14:textFill>
            <w14:solidFill>
              <w14:schemeClr w14:val="tx1"/>
            </w14:solidFill>
          </w14:textFill>
        </w:rPr>
        <w:t>场所及</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配套</w:t>
      </w:r>
      <w:r>
        <w:rPr>
          <w:rFonts w:hint="eastAsia" w:ascii="仿宋_GB2312" w:hAnsi="微软雅黑" w:eastAsia="仿宋_GB2312" w:cs="宋体"/>
          <w:color w:val="000000" w:themeColor="text1"/>
          <w:kern w:val="0"/>
          <w:sz w:val="32"/>
          <w:szCs w:val="32"/>
          <w14:textFill>
            <w14:solidFill>
              <w14:schemeClr w14:val="tx1"/>
            </w14:solidFill>
          </w14:textFill>
        </w:rPr>
        <w:t>相关设备。</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承接服务主体</w:t>
      </w:r>
      <w:r>
        <w:rPr>
          <w:rFonts w:hint="eastAsia" w:ascii="仿宋_GB2312" w:hAnsi="仿宋_GB2312" w:eastAsia="仿宋_GB2312" w:cs="仿宋_GB2312"/>
          <w:sz w:val="32"/>
          <w:szCs w:val="32"/>
        </w:rPr>
        <w:t>要热爱“三农”工作，在“三农”领域有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年以上工作经验，</w:t>
      </w:r>
      <w:r>
        <w:rPr>
          <w:rFonts w:hint="eastAsia" w:ascii="仿宋_GB2312" w:hAnsi="微软雅黑" w:eastAsia="仿宋_GB2312" w:cs="宋体"/>
          <w:color w:val="000000" w:themeColor="text1"/>
          <w:kern w:val="0"/>
          <w:sz w:val="32"/>
          <w:szCs w:val="32"/>
          <w14:textFill>
            <w14:solidFill>
              <w14:schemeClr w14:val="tx1"/>
            </w14:solidFill>
          </w14:textFill>
        </w:rPr>
        <w:t xml:space="preserve">有3名以上专职人员指导和服务农民合作社，具有学习掌握相关法律法规及相关政府文件的工作能力，能建立农民合作社完备成员账户和报送规范年报等。 </w:t>
      </w:r>
    </w:p>
    <w:p>
      <w:pPr>
        <w:shd w:val="clear" w:color="auto" w:fill="FFFFFF"/>
        <w:overflowPunct w:val="0"/>
        <w:adjustRightInd w:val="0"/>
        <w:snapToGrid w:val="0"/>
        <w:spacing w:line="560" w:lineRule="exact"/>
        <w:ind w:firstLine="640"/>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（四）同意在</w:t>
      </w:r>
      <w:r>
        <w:rPr>
          <w:rFonts w:hint="eastAsia" w:ascii="宋体" w:hAnsi="宋体" w:eastAsia="仿宋_GB2312" w:cs="仿宋_GB2312"/>
          <w:sz w:val="32"/>
          <w:szCs w:val="32"/>
          <w:lang w:val="en-US" w:eastAsia="zh-CN"/>
        </w:rPr>
        <w:t>麻章区农业农村和水务局</w:t>
      </w:r>
      <w:r>
        <w:rPr>
          <w:rFonts w:hint="eastAsia" w:ascii="仿宋_GB2312" w:hAnsi="微软雅黑" w:eastAsia="仿宋_GB2312" w:cs="宋体"/>
          <w:color w:val="000000" w:themeColor="text1"/>
          <w:kern w:val="0"/>
          <w:sz w:val="32"/>
          <w:szCs w:val="32"/>
          <w14:textFill>
            <w14:solidFill>
              <w14:schemeClr w14:val="tx1"/>
            </w14:solidFill>
          </w14:textFill>
        </w:rPr>
        <w:t>指导下承担农民合作社服务中心任务，积极配合相关部门和单位的检查、审核和监督。</w:t>
      </w:r>
    </w:p>
    <w:p>
      <w:pPr>
        <w:shd w:val="clear" w:color="auto" w:fill="FFFFFF"/>
        <w:overflowPunct w:val="0"/>
        <w:adjustRightInd w:val="0"/>
        <w:snapToGrid w:val="0"/>
        <w:spacing w:line="560" w:lineRule="exact"/>
        <w:ind w:firstLine="640"/>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八、服务主体遴选程序</w:t>
      </w:r>
    </w:p>
    <w:p>
      <w:pPr>
        <w:shd w:val="clear" w:color="auto" w:fill="FFFFFF"/>
        <w:overflowPunct w:val="0"/>
        <w:adjustRightInd w:val="0"/>
        <w:snapToGrid w:val="0"/>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（一）申报。</w:t>
      </w:r>
      <w:bookmarkStart w:id="0" w:name="_GoBack"/>
      <w:bookmarkEnd w:id="0"/>
      <w:r>
        <w:rPr>
          <w:rFonts w:hint="eastAsia" w:ascii="仿宋_GB2312" w:hAnsi="微软雅黑" w:eastAsia="仿宋_GB2312" w:cs="宋体"/>
          <w:color w:val="000000" w:themeColor="text1"/>
          <w:kern w:val="0"/>
          <w:sz w:val="32"/>
          <w:szCs w:val="32"/>
          <w14:textFill>
            <w14:solidFill>
              <w14:schemeClr w14:val="tx1"/>
            </w14:solidFill>
          </w14:textFill>
        </w:rPr>
        <w:t>具备以上遴选条件、有意承担农民合作社服务中心任务的服务主体在规定时间内将申报资料（加盖公章）装订一式5份交到</w:t>
      </w:r>
      <w:r>
        <w:rPr>
          <w:rFonts w:hint="eastAsia" w:ascii="宋体" w:hAnsi="宋体" w:eastAsia="仿宋_GB2312" w:cs="仿宋_GB2312"/>
          <w:sz w:val="32"/>
          <w:szCs w:val="32"/>
          <w:lang w:val="en-US" w:eastAsia="zh-CN"/>
        </w:rPr>
        <w:t>麻章区农业农村和水务局</w:t>
      </w:r>
      <w:r>
        <w:rPr>
          <w:rFonts w:hint="eastAsia" w:ascii="仿宋_GB2312" w:hAnsi="微软雅黑" w:eastAsia="仿宋_GB2312" w:cs="宋体"/>
          <w:color w:val="000000" w:themeColor="text1"/>
          <w:kern w:val="0"/>
          <w:sz w:val="32"/>
          <w:szCs w:val="32"/>
          <w14:textFill>
            <w14:solidFill>
              <w14:schemeClr w14:val="tx1"/>
            </w14:solidFill>
          </w14:textFill>
        </w:rPr>
        <w:t>。</w:t>
      </w:r>
    </w:p>
    <w:p>
      <w:pPr>
        <w:shd w:val="clear" w:color="auto" w:fill="FFFFFF"/>
        <w:overflowPunct w:val="0"/>
        <w:adjustRightInd w:val="0"/>
        <w:snapToGrid w:val="0"/>
        <w:spacing w:line="560" w:lineRule="exact"/>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申报材料包括：申报书（见附件）、法人证书、</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办公场所无偿使用承诺书</w:t>
      </w:r>
      <w:r>
        <w:rPr>
          <w:rFonts w:hint="eastAsia" w:ascii="仿宋_GB2312" w:hAnsi="微软雅黑" w:eastAsia="仿宋_GB2312" w:cs="宋体"/>
          <w:color w:val="000000" w:themeColor="text1"/>
          <w:kern w:val="0"/>
          <w:sz w:val="32"/>
          <w:szCs w:val="32"/>
          <w14:textFill>
            <w14:solidFill>
              <w14:schemeClr w14:val="tx1"/>
            </w14:solidFill>
          </w14:textFill>
        </w:rPr>
        <w:t>、服务团队人员名单（含资格证书）、财务管理制度和其他能增加竞争力的材料。</w:t>
      </w:r>
    </w:p>
    <w:p>
      <w:pPr>
        <w:shd w:val="clear" w:color="auto" w:fill="FFFFFF"/>
        <w:overflowPunct w:val="0"/>
        <w:adjustRightInd w:val="0"/>
        <w:snapToGrid w:val="0"/>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（二）专家评审。</w:t>
      </w:r>
      <w:r>
        <w:rPr>
          <w:rFonts w:hint="eastAsia" w:ascii="宋体" w:hAnsi="宋体" w:eastAsia="仿宋_GB2312" w:cs="仿宋_GB2312"/>
          <w:sz w:val="32"/>
          <w:szCs w:val="32"/>
          <w:lang w:val="en-US" w:eastAsia="zh-CN"/>
        </w:rPr>
        <w:t>麻章区农业农村和水务局</w:t>
      </w:r>
      <w:r>
        <w:rPr>
          <w:rFonts w:hint="eastAsia" w:ascii="仿宋_GB2312" w:hAnsi="微软雅黑" w:eastAsia="仿宋_GB2312" w:cs="宋体"/>
          <w:color w:val="000000" w:themeColor="text1"/>
          <w:kern w:val="0"/>
          <w:sz w:val="32"/>
          <w:szCs w:val="32"/>
          <w14:textFill>
            <w14:solidFill>
              <w14:schemeClr w14:val="tx1"/>
            </w14:solidFill>
          </w14:textFill>
        </w:rPr>
        <w:t>组织专家组对申报材料进行评审和现场考察评估，根据评分细则对符合条件的服务主体评分，评审出达标的服务主体,报</w:t>
      </w:r>
      <w:r>
        <w:rPr>
          <w:rFonts w:hint="eastAsia" w:ascii="宋体" w:hAnsi="宋体" w:eastAsia="仿宋_GB2312" w:cs="仿宋_GB2312"/>
          <w:sz w:val="32"/>
          <w:szCs w:val="32"/>
          <w:lang w:val="en-US" w:eastAsia="zh-CN"/>
        </w:rPr>
        <w:t>麻章区农业农村和水务局</w:t>
      </w:r>
      <w:r>
        <w:rPr>
          <w:rFonts w:hint="eastAsia" w:ascii="仿宋_GB2312" w:hAnsi="微软雅黑" w:eastAsia="仿宋_GB2312" w:cs="宋体"/>
          <w:color w:val="000000" w:themeColor="text1"/>
          <w:kern w:val="0"/>
          <w:sz w:val="32"/>
          <w:szCs w:val="32"/>
          <w14:textFill>
            <w14:solidFill>
              <w14:schemeClr w14:val="tx1"/>
            </w14:solidFill>
          </w14:textFill>
        </w:rPr>
        <w:t>领导班子会议审议通过后,确定为</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麻章区</w:t>
      </w:r>
      <w:r>
        <w:rPr>
          <w:rFonts w:hint="eastAsia" w:ascii="仿宋_GB2312" w:hAnsi="微软雅黑" w:eastAsia="仿宋_GB2312" w:cs="宋体"/>
          <w:color w:val="000000" w:themeColor="text1"/>
          <w:kern w:val="0"/>
          <w:sz w:val="32"/>
          <w:szCs w:val="32"/>
          <w14:textFill>
            <w14:solidFill>
              <w14:schemeClr w14:val="tx1"/>
            </w14:solidFill>
          </w14:textFill>
        </w:rPr>
        <w:t>农民合作社服务中心的服务主体。</w:t>
      </w:r>
    </w:p>
    <w:p>
      <w:pPr>
        <w:shd w:val="clear" w:color="auto" w:fill="FFFFFF"/>
        <w:overflowPunct w:val="0"/>
        <w:adjustRightInd w:val="0"/>
        <w:snapToGrid w:val="0"/>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（三）公示。遴选结果将在</w:t>
      </w:r>
      <w:r>
        <w:rPr>
          <w:rFonts w:hint="eastAsia" w:ascii="仿宋_GB2312" w:hAnsi="微软雅黑" w:eastAsia="仿宋_GB2312" w:cs="宋体"/>
          <w:color w:val="auto"/>
          <w:kern w:val="0"/>
          <w:sz w:val="32"/>
          <w:szCs w:val="32"/>
          <w:lang w:val="en-US" w:eastAsia="zh-CN"/>
        </w:rPr>
        <w:t>麻章区政府门户网站</w:t>
      </w:r>
      <w:r>
        <w:rPr>
          <w:rFonts w:hint="eastAsia" w:ascii="仿宋_GB2312" w:hAnsi="微软雅黑" w:eastAsia="仿宋_GB2312" w:cs="宋体"/>
          <w:color w:val="000000" w:themeColor="text1"/>
          <w:kern w:val="0"/>
          <w:sz w:val="32"/>
          <w:szCs w:val="32"/>
          <w14:textFill>
            <w14:solidFill>
              <w14:schemeClr w14:val="tx1"/>
            </w14:solidFill>
          </w14:textFill>
        </w:rPr>
        <w:t>进行公示</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7天</w:t>
      </w:r>
      <w:r>
        <w:rPr>
          <w:rFonts w:hint="eastAsia" w:ascii="仿宋_GB2312" w:hAnsi="微软雅黑" w:eastAsia="仿宋_GB2312" w:cs="宋体"/>
          <w:color w:val="000000" w:themeColor="text1"/>
          <w:kern w:val="0"/>
          <w:sz w:val="32"/>
          <w:szCs w:val="32"/>
          <w14:textFill>
            <w14:solidFill>
              <w14:schemeClr w14:val="tx1"/>
            </w14:solidFill>
          </w14:textFill>
        </w:rPr>
        <w:t>，公示无异议后，将其认定为承接</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麻章区</w:t>
      </w:r>
      <w:r>
        <w:rPr>
          <w:rFonts w:hint="eastAsia" w:ascii="仿宋_GB2312" w:hAnsi="微软雅黑" w:eastAsia="仿宋_GB2312" w:cs="宋体"/>
          <w:color w:val="000000" w:themeColor="text1"/>
          <w:kern w:val="0"/>
          <w:sz w:val="32"/>
          <w:szCs w:val="32"/>
          <w14:textFill>
            <w14:solidFill>
              <w14:schemeClr w14:val="tx1"/>
            </w14:solidFill>
          </w14:textFill>
        </w:rPr>
        <w:t>农民合作社服务中心的服务主体。</w:t>
      </w:r>
    </w:p>
    <w:p>
      <w:pPr>
        <w:shd w:val="clear" w:color="auto" w:fill="FFFFFF"/>
        <w:overflowPunct w:val="0"/>
        <w:adjustRightInd w:val="0"/>
        <w:snapToGrid w:val="0"/>
        <w:spacing w:line="560" w:lineRule="exact"/>
        <w:ind w:firstLine="645"/>
        <w:rPr>
          <w:rFonts w:ascii="仿宋_GB2312" w:hAnsi="微软雅黑" w:eastAsia="仿宋_GB2312" w:cs="宋体"/>
          <w:color w:val="FF0000"/>
          <w:kern w:val="0"/>
          <w:sz w:val="32"/>
          <w:szCs w:val="32"/>
        </w:rPr>
      </w:pPr>
      <w:r>
        <w:rPr>
          <w:rFonts w:hint="eastAsia" w:ascii="仿宋_GB2312" w:hAnsi="微软雅黑" w:eastAsia="仿宋_GB2312" w:cs="宋体"/>
          <w:color w:val="000000" w:themeColor="text1"/>
          <w:kern w:val="0"/>
          <w:sz w:val="32"/>
          <w:szCs w:val="32"/>
          <w14:textFill>
            <w14:solidFill>
              <w14:schemeClr w14:val="tx1"/>
            </w14:solidFill>
          </w14:textFill>
        </w:rPr>
        <w:t>（四）签订合同。承接项目主体与</w:t>
      </w:r>
      <w:r>
        <w:rPr>
          <w:rFonts w:hint="eastAsia" w:ascii="宋体" w:hAnsi="宋体" w:eastAsia="仿宋_GB2312" w:cs="仿宋_GB2312"/>
          <w:sz w:val="32"/>
          <w:szCs w:val="32"/>
          <w:lang w:val="en-US" w:eastAsia="zh-CN"/>
        </w:rPr>
        <w:t>麻章区农业农村和水务局</w:t>
      </w:r>
      <w:r>
        <w:rPr>
          <w:rFonts w:hint="eastAsia" w:ascii="仿宋_GB2312" w:hAnsi="微软雅黑" w:eastAsia="仿宋_GB2312" w:cs="宋体"/>
          <w:color w:val="000000" w:themeColor="text1"/>
          <w:kern w:val="0"/>
          <w:sz w:val="32"/>
          <w:szCs w:val="32"/>
          <w14:textFill>
            <w14:solidFill>
              <w14:schemeClr w14:val="tx1"/>
            </w14:solidFill>
          </w14:textFill>
        </w:rPr>
        <w:t>签订购买服务（项目委托）合同。本次服务期限为</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两</w:t>
      </w:r>
      <w:r>
        <w:rPr>
          <w:rFonts w:hint="eastAsia" w:ascii="仿宋_GB2312" w:hAnsi="微软雅黑" w:eastAsia="仿宋_GB2312" w:cs="宋体"/>
          <w:color w:val="000000" w:themeColor="text1"/>
          <w:kern w:val="0"/>
          <w:sz w:val="32"/>
          <w:szCs w:val="32"/>
          <w14:textFill>
            <w14:solidFill>
              <w14:schemeClr w14:val="tx1"/>
            </w14:solidFill>
          </w14:textFill>
        </w:rPr>
        <w:t>年</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今后根据</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工作需要及</w:t>
      </w:r>
      <w:r>
        <w:rPr>
          <w:rFonts w:hint="eastAsia" w:ascii="仿宋_GB2312" w:hAnsi="微软雅黑" w:eastAsia="仿宋_GB2312" w:cs="宋体"/>
          <w:color w:val="000000" w:themeColor="text1"/>
          <w:kern w:val="0"/>
          <w:sz w:val="32"/>
          <w:szCs w:val="32"/>
          <w14:textFill>
            <w14:solidFill>
              <w14:schemeClr w14:val="tx1"/>
            </w14:solidFill>
          </w14:textFill>
        </w:rPr>
        <w:t>服务完成情况确定是否续签。</w:t>
      </w:r>
    </w:p>
    <w:p>
      <w:pPr>
        <w:shd w:val="clear" w:color="auto" w:fill="FFFFFF"/>
        <w:overflowPunct w:val="0"/>
        <w:adjustRightInd w:val="0"/>
        <w:snapToGrid w:val="0"/>
        <w:spacing w:line="560" w:lineRule="exact"/>
        <w:ind w:firstLine="645"/>
        <w:rPr>
          <w:rFonts w:ascii="仿宋_GB2312" w:hAnsi="微软雅黑" w:eastAsia="仿宋_GB2312" w:cs="宋体"/>
          <w:color w:val="000000" w:themeColor="text1"/>
          <w:kern w:val="0"/>
          <w:sz w:val="32"/>
          <w:szCs w:val="32"/>
          <w14:textFill>
            <w14:solidFill>
              <w14:schemeClr w14:val="tx1"/>
            </w14:solidFill>
          </w14:textFill>
        </w:rPr>
      </w:pPr>
    </w:p>
    <w:p>
      <w:pPr>
        <w:shd w:val="clear" w:color="auto" w:fill="FFFFFF"/>
        <w:overflowPunct w:val="0"/>
        <w:adjustRightInd w:val="0"/>
        <w:snapToGrid w:val="0"/>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p>
    <w:sectPr>
      <w:footerReference r:id="rId3" w:type="default"/>
      <w:pgSz w:w="11906" w:h="16838"/>
      <w:pgMar w:top="1440" w:right="1800" w:bottom="1440" w:left="1800" w:header="79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1463"/>
      <w:docPartObj>
        <w:docPartGallery w:val="autotext"/>
      </w:docPartObj>
    </w:sdtPr>
    <w:sdtContent>
      <w:p>
        <w:pPr>
          <w:pStyle w:val="2"/>
          <w:overflowPunct w:val="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6DE4"/>
    <w:multiLevelType w:val="singleLevel"/>
    <w:tmpl w:val="152B6D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06"/>
    <w:rsid w:val="000210AB"/>
    <w:rsid w:val="000235A8"/>
    <w:rsid w:val="0002530E"/>
    <w:rsid w:val="00045A01"/>
    <w:rsid w:val="00050093"/>
    <w:rsid w:val="000633A5"/>
    <w:rsid w:val="00065FE7"/>
    <w:rsid w:val="00070746"/>
    <w:rsid w:val="00075C37"/>
    <w:rsid w:val="00084E03"/>
    <w:rsid w:val="000974B5"/>
    <w:rsid w:val="00097A2F"/>
    <w:rsid w:val="000A5ADA"/>
    <w:rsid w:val="000A654A"/>
    <w:rsid w:val="000B0CDB"/>
    <w:rsid w:val="000B2352"/>
    <w:rsid w:val="000B6ACF"/>
    <w:rsid w:val="000C6467"/>
    <w:rsid w:val="000C65AD"/>
    <w:rsid w:val="000D0B05"/>
    <w:rsid w:val="000E1551"/>
    <w:rsid w:val="000E51B8"/>
    <w:rsid w:val="00102155"/>
    <w:rsid w:val="001054B2"/>
    <w:rsid w:val="00113281"/>
    <w:rsid w:val="0011672D"/>
    <w:rsid w:val="0013092F"/>
    <w:rsid w:val="00130D54"/>
    <w:rsid w:val="00152C13"/>
    <w:rsid w:val="00174A3D"/>
    <w:rsid w:val="00176096"/>
    <w:rsid w:val="001A22BB"/>
    <w:rsid w:val="001A3329"/>
    <w:rsid w:val="001D1ADA"/>
    <w:rsid w:val="001D49A6"/>
    <w:rsid w:val="001E54C6"/>
    <w:rsid w:val="001F2ACE"/>
    <w:rsid w:val="001F47B2"/>
    <w:rsid w:val="001F78F2"/>
    <w:rsid w:val="00206484"/>
    <w:rsid w:val="00214F3E"/>
    <w:rsid w:val="00234543"/>
    <w:rsid w:val="00234F82"/>
    <w:rsid w:val="002702E1"/>
    <w:rsid w:val="002A1F4B"/>
    <w:rsid w:val="002A68EC"/>
    <w:rsid w:val="002A7399"/>
    <w:rsid w:val="002A7887"/>
    <w:rsid w:val="002B26A0"/>
    <w:rsid w:val="002C5F90"/>
    <w:rsid w:val="002C7ECA"/>
    <w:rsid w:val="002D6985"/>
    <w:rsid w:val="002D7356"/>
    <w:rsid w:val="002E111D"/>
    <w:rsid w:val="002F1F0B"/>
    <w:rsid w:val="002F5A05"/>
    <w:rsid w:val="00310E3C"/>
    <w:rsid w:val="003120FD"/>
    <w:rsid w:val="003165BF"/>
    <w:rsid w:val="00350035"/>
    <w:rsid w:val="00350221"/>
    <w:rsid w:val="003509E2"/>
    <w:rsid w:val="0035114D"/>
    <w:rsid w:val="003529DC"/>
    <w:rsid w:val="00361CAA"/>
    <w:rsid w:val="0036204B"/>
    <w:rsid w:val="00363A54"/>
    <w:rsid w:val="0036704C"/>
    <w:rsid w:val="003912ED"/>
    <w:rsid w:val="003A0B27"/>
    <w:rsid w:val="003D09B1"/>
    <w:rsid w:val="003E08B4"/>
    <w:rsid w:val="003F74FE"/>
    <w:rsid w:val="004057FC"/>
    <w:rsid w:val="00413A10"/>
    <w:rsid w:val="0043303B"/>
    <w:rsid w:val="00433C0C"/>
    <w:rsid w:val="00435C7E"/>
    <w:rsid w:val="00442A0F"/>
    <w:rsid w:val="00454511"/>
    <w:rsid w:val="0045544B"/>
    <w:rsid w:val="00456D0B"/>
    <w:rsid w:val="00461EF0"/>
    <w:rsid w:val="00465E62"/>
    <w:rsid w:val="00472690"/>
    <w:rsid w:val="00472D85"/>
    <w:rsid w:val="00480C32"/>
    <w:rsid w:val="00481F24"/>
    <w:rsid w:val="00490B38"/>
    <w:rsid w:val="00493A5C"/>
    <w:rsid w:val="004A111D"/>
    <w:rsid w:val="004A2878"/>
    <w:rsid w:val="004B14A6"/>
    <w:rsid w:val="004B46F7"/>
    <w:rsid w:val="004C2D54"/>
    <w:rsid w:val="004C35C6"/>
    <w:rsid w:val="004D31C9"/>
    <w:rsid w:val="004D5C55"/>
    <w:rsid w:val="004D7258"/>
    <w:rsid w:val="004E16CC"/>
    <w:rsid w:val="004E1E38"/>
    <w:rsid w:val="004E5AFF"/>
    <w:rsid w:val="00501EBD"/>
    <w:rsid w:val="00505859"/>
    <w:rsid w:val="00514B34"/>
    <w:rsid w:val="00516F29"/>
    <w:rsid w:val="00524D7C"/>
    <w:rsid w:val="005427E6"/>
    <w:rsid w:val="00552448"/>
    <w:rsid w:val="00556A9C"/>
    <w:rsid w:val="00561ACB"/>
    <w:rsid w:val="00564615"/>
    <w:rsid w:val="00586DA6"/>
    <w:rsid w:val="005934C6"/>
    <w:rsid w:val="005A1BA6"/>
    <w:rsid w:val="005C5724"/>
    <w:rsid w:val="005C65AF"/>
    <w:rsid w:val="005D3F5A"/>
    <w:rsid w:val="00606458"/>
    <w:rsid w:val="0062237C"/>
    <w:rsid w:val="006343CE"/>
    <w:rsid w:val="00652213"/>
    <w:rsid w:val="00684D97"/>
    <w:rsid w:val="00691541"/>
    <w:rsid w:val="006933D2"/>
    <w:rsid w:val="006B1308"/>
    <w:rsid w:val="006C0E10"/>
    <w:rsid w:val="006C19CC"/>
    <w:rsid w:val="006C4EEB"/>
    <w:rsid w:val="006D286B"/>
    <w:rsid w:val="0070365F"/>
    <w:rsid w:val="00732516"/>
    <w:rsid w:val="007442E0"/>
    <w:rsid w:val="0074510A"/>
    <w:rsid w:val="00756485"/>
    <w:rsid w:val="00763550"/>
    <w:rsid w:val="00770881"/>
    <w:rsid w:val="00777ADB"/>
    <w:rsid w:val="00790C6F"/>
    <w:rsid w:val="0079694B"/>
    <w:rsid w:val="007B1332"/>
    <w:rsid w:val="007B3693"/>
    <w:rsid w:val="007C428C"/>
    <w:rsid w:val="007C448B"/>
    <w:rsid w:val="007C4D1D"/>
    <w:rsid w:val="007E6331"/>
    <w:rsid w:val="00810CE3"/>
    <w:rsid w:val="008120DE"/>
    <w:rsid w:val="008127D6"/>
    <w:rsid w:val="00827377"/>
    <w:rsid w:val="00842B3A"/>
    <w:rsid w:val="00853FBB"/>
    <w:rsid w:val="00870459"/>
    <w:rsid w:val="00873F79"/>
    <w:rsid w:val="0088179D"/>
    <w:rsid w:val="008974D1"/>
    <w:rsid w:val="008A03E6"/>
    <w:rsid w:val="008D4644"/>
    <w:rsid w:val="008D4748"/>
    <w:rsid w:val="008D6DF7"/>
    <w:rsid w:val="008D6ECC"/>
    <w:rsid w:val="008E03B5"/>
    <w:rsid w:val="008E10FE"/>
    <w:rsid w:val="008E2C3C"/>
    <w:rsid w:val="008E7B6A"/>
    <w:rsid w:val="008F4116"/>
    <w:rsid w:val="00903F23"/>
    <w:rsid w:val="009157C3"/>
    <w:rsid w:val="00936D58"/>
    <w:rsid w:val="00950307"/>
    <w:rsid w:val="0097466E"/>
    <w:rsid w:val="0097468F"/>
    <w:rsid w:val="009A0A4C"/>
    <w:rsid w:val="009A0EBF"/>
    <w:rsid w:val="009A3558"/>
    <w:rsid w:val="009D0101"/>
    <w:rsid w:val="009D1C87"/>
    <w:rsid w:val="009E64B4"/>
    <w:rsid w:val="009F4F5B"/>
    <w:rsid w:val="00A00F21"/>
    <w:rsid w:val="00A02A5F"/>
    <w:rsid w:val="00A11919"/>
    <w:rsid w:val="00A13699"/>
    <w:rsid w:val="00A139B8"/>
    <w:rsid w:val="00A14ADE"/>
    <w:rsid w:val="00A21A9C"/>
    <w:rsid w:val="00A34517"/>
    <w:rsid w:val="00A76792"/>
    <w:rsid w:val="00A8023D"/>
    <w:rsid w:val="00A85858"/>
    <w:rsid w:val="00A867B6"/>
    <w:rsid w:val="00A90FC9"/>
    <w:rsid w:val="00AB0161"/>
    <w:rsid w:val="00AB402B"/>
    <w:rsid w:val="00AF0D78"/>
    <w:rsid w:val="00AF0E35"/>
    <w:rsid w:val="00AF51EC"/>
    <w:rsid w:val="00AF5996"/>
    <w:rsid w:val="00B01A6E"/>
    <w:rsid w:val="00B14FFA"/>
    <w:rsid w:val="00B1605F"/>
    <w:rsid w:val="00B260D9"/>
    <w:rsid w:val="00B2667A"/>
    <w:rsid w:val="00B32680"/>
    <w:rsid w:val="00B4003B"/>
    <w:rsid w:val="00B72674"/>
    <w:rsid w:val="00B778CE"/>
    <w:rsid w:val="00B86208"/>
    <w:rsid w:val="00B93769"/>
    <w:rsid w:val="00B93E34"/>
    <w:rsid w:val="00BB2042"/>
    <w:rsid w:val="00BB79D5"/>
    <w:rsid w:val="00BD1716"/>
    <w:rsid w:val="00BD3427"/>
    <w:rsid w:val="00BE2635"/>
    <w:rsid w:val="00BE2652"/>
    <w:rsid w:val="00BE4C9E"/>
    <w:rsid w:val="00BE51F6"/>
    <w:rsid w:val="00BF2627"/>
    <w:rsid w:val="00C00A43"/>
    <w:rsid w:val="00C436B4"/>
    <w:rsid w:val="00C54A2B"/>
    <w:rsid w:val="00C54A6F"/>
    <w:rsid w:val="00C561B6"/>
    <w:rsid w:val="00C864FF"/>
    <w:rsid w:val="00C86805"/>
    <w:rsid w:val="00C96B77"/>
    <w:rsid w:val="00CA234A"/>
    <w:rsid w:val="00CC5BF8"/>
    <w:rsid w:val="00CF76A5"/>
    <w:rsid w:val="00D001CF"/>
    <w:rsid w:val="00D13E17"/>
    <w:rsid w:val="00D21F66"/>
    <w:rsid w:val="00D23907"/>
    <w:rsid w:val="00D3164E"/>
    <w:rsid w:val="00D32207"/>
    <w:rsid w:val="00D3443F"/>
    <w:rsid w:val="00D56FB4"/>
    <w:rsid w:val="00D57BFD"/>
    <w:rsid w:val="00D647BF"/>
    <w:rsid w:val="00D74C86"/>
    <w:rsid w:val="00D84A1B"/>
    <w:rsid w:val="00D8593D"/>
    <w:rsid w:val="00D85FF6"/>
    <w:rsid w:val="00DA69C6"/>
    <w:rsid w:val="00DB7C49"/>
    <w:rsid w:val="00DC714F"/>
    <w:rsid w:val="00DD4D92"/>
    <w:rsid w:val="00DD5EC1"/>
    <w:rsid w:val="00DE1B0E"/>
    <w:rsid w:val="00E00EFB"/>
    <w:rsid w:val="00E25229"/>
    <w:rsid w:val="00E27668"/>
    <w:rsid w:val="00E33F9F"/>
    <w:rsid w:val="00E3497C"/>
    <w:rsid w:val="00E72728"/>
    <w:rsid w:val="00E825A1"/>
    <w:rsid w:val="00E82A0B"/>
    <w:rsid w:val="00E93698"/>
    <w:rsid w:val="00EA3748"/>
    <w:rsid w:val="00EB12BD"/>
    <w:rsid w:val="00EB7553"/>
    <w:rsid w:val="00EC1499"/>
    <w:rsid w:val="00ED5F3C"/>
    <w:rsid w:val="00ED6E06"/>
    <w:rsid w:val="00ED7252"/>
    <w:rsid w:val="00EE60C3"/>
    <w:rsid w:val="00EE7E4F"/>
    <w:rsid w:val="00EF2269"/>
    <w:rsid w:val="00F34442"/>
    <w:rsid w:val="00F41EA0"/>
    <w:rsid w:val="00F42687"/>
    <w:rsid w:val="00F43009"/>
    <w:rsid w:val="00F541FC"/>
    <w:rsid w:val="00F62548"/>
    <w:rsid w:val="00F62AF8"/>
    <w:rsid w:val="00F709C8"/>
    <w:rsid w:val="00F7260D"/>
    <w:rsid w:val="00F72B37"/>
    <w:rsid w:val="00F77DD2"/>
    <w:rsid w:val="00F8299F"/>
    <w:rsid w:val="00F83268"/>
    <w:rsid w:val="00F86620"/>
    <w:rsid w:val="00F91A95"/>
    <w:rsid w:val="00F9438A"/>
    <w:rsid w:val="00FA069F"/>
    <w:rsid w:val="00FA6112"/>
    <w:rsid w:val="00FB2E18"/>
    <w:rsid w:val="00FB4E43"/>
    <w:rsid w:val="00FB7209"/>
    <w:rsid w:val="00FC0345"/>
    <w:rsid w:val="00FE2191"/>
    <w:rsid w:val="00FE4C1D"/>
    <w:rsid w:val="00FE55F7"/>
    <w:rsid w:val="00FE6121"/>
    <w:rsid w:val="0DFB491B"/>
    <w:rsid w:val="0E032DDF"/>
    <w:rsid w:val="11A57CA0"/>
    <w:rsid w:val="13CA5C8C"/>
    <w:rsid w:val="1E1F4517"/>
    <w:rsid w:val="24150C22"/>
    <w:rsid w:val="280D70D9"/>
    <w:rsid w:val="322434B3"/>
    <w:rsid w:val="371C2A1D"/>
    <w:rsid w:val="3A7301C0"/>
    <w:rsid w:val="3F2C077B"/>
    <w:rsid w:val="445A60D8"/>
    <w:rsid w:val="5EB81492"/>
    <w:rsid w:val="66257357"/>
    <w:rsid w:val="68332C8E"/>
    <w:rsid w:val="687560EC"/>
    <w:rsid w:val="69AD36AA"/>
    <w:rsid w:val="6C7C4502"/>
    <w:rsid w:val="73D000FC"/>
    <w:rsid w:val="7ECC6B58"/>
    <w:rsid w:val="7EFA35E1"/>
    <w:rsid w:val="7FB5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Char2"/>
    <w:basedOn w:val="1"/>
    <w:qFormat/>
    <w:uiPriority w:val="0"/>
    <w:pPr>
      <w:widowControl/>
      <w:adjustRightInd w:val="0"/>
      <w:snapToGrid w:val="0"/>
      <w:spacing w:before="100" w:beforeAutospacing="1" w:after="100" w:afterAutospacing="1" w:line="360" w:lineRule="auto"/>
      <w:ind w:left="360" w:firstLine="624"/>
      <w:jc w:val="left"/>
    </w:pPr>
    <w:rPr>
      <w:rFonts w:ascii="Times New Roman" w:hAnsi="Times New Roman" w:eastAsia="仿宋_GB2312" w:cs="Times New Roman"/>
      <w:sz w:val="30"/>
      <w:szCs w:val="24"/>
    </w:rPr>
  </w:style>
  <w:style w:type="paragraph" w:customStyle="1" w:styleId="10">
    <w:name w:val="Char21"/>
    <w:basedOn w:val="1"/>
    <w:qFormat/>
    <w:uiPriority w:val="0"/>
    <w:pPr>
      <w:widowControl/>
      <w:adjustRightInd w:val="0"/>
      <w:snapToGrid w:val="0"/>
      <w:spacing w:before="100" w:beforeAutospacing="1" w:after="100" w:afterAutospacing="1" w:line="360" w:lineRule="auto"/>
      <w:ind w:left="360" w:firstLine="624"/>
      <w:jc w:val="left"/>
    </w:pPr>
    <w:rPr>
      <w:rFonts w:ascii="Times New Roman" w:hAnsi="Times New Roman" w:eastAsia="仿宋_GB2312" w:cs="Times New Roman"/>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531</Words>
  <Characters>3029</Characters>
  <Lines>25</Lines>
  <Paragraphs>7</Paragraphs>
  <TotalTime>5</TotalTime>
  <ScaleCrop>false</ScaleCrop>
  <LinksUpToDate>false</LinksUpToDate>
  <CharactersWithSpaces>3553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2020-06-01T08:44:00Z</dcterms:created>
  <dc:creator>admin</dc:creator>
  <cp:lastModifiedBy>iamHy</cp:lastModifiedBy>
  <cp:lastPrinted>2020-09-27T01:08:00Z</cp:lastPrinted>
  <dcterms:modified xsi:type="dcterms:W3CDTF">2020-09-27T08:59:46Z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