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广东诺科冷暖设备有限公司一期位于麻章区</w:t>
      </w:r>
    </w:p>
    <w:p>
      <w:pPr>
        <w:spacing w:line="540" w:lineRule="exact"/>
        <w:jc w:val="center"/>
        <w:rPr>
          <w:rFonts w:hint="eastAsia" w:ascii="Times New Roman" w:hAnsi="Times New Roman" w:eastAsia="仿宋_GB2312"/>
          <w:b/>
          <w:bCs/>
          <w:sz w:val="44"/>
          <w:szCs w:val="44"/>
          <w:lang w:val="en-US" w:eastAsia="zh-CN"/>
        </w:rPr>
      </w:pPr>
      <w:bookmarkStart w:id="30" w:name="_GoBack"/>
      <w:bookmarkEnd w:id="30"/>
      <w:r>
        <w:rPr>
          <w:rFonts w:hint="eastAsia" w:ascii="方正小标宋简体" w:hAnsi="方正小标宋简体" w:eastAsia="方正小标宋简体" w:cs="方正小标宋简体"/>
          <w:b w:val="0"/>
          <w:bCs w:val="0"/>
          <w:sz w:val="44"/>
          <w:szCs w:val="44"/>
        </w:rPr>
        <w:t>金康中路60号“三旧”改造方案</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草案）</w:t>
      </w:r>
    </w:p>
    <w:p>
      <w:pPr>
        <w:snapToGrid w:val="0"/>
        <w:spacing w:line="540" w:lineRule="exact"/>
        <w:ind w:firstLine="883" w:firstLineChars="200"/>
        <w:jc w:val="center"/>
        <w:rPr>
          <w:rFonts w:hint="default" w:ascii="Times New Roman" w:hAnsi="Times New Roman" w:eastAsia="仿宋_GB2312"/>
          <w:b/>
          <w:bCs/>
          <w:sz w:val="44"/>
          <w:szCs w:val="44"/>
          <w:lang w:val="en-US" w:eastAsia="zh-CN"/>
        </w:rPr>
      </w:pPr>
    </w:p>
    <w:p>
      <w:pPr>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为实施国土空间规划（土地利用总体规划）</w:t>
      </w:r>
      <w:r>
        <w:rPr>
          <w:rFonts w:hint="eastAsia" w:ascii="Times New Roman" w:hAnsi="Times New Roman" w:eastAsia="仿宋_GB2312"/>
          <w:sz w:val="32"/>
          <w:szCs w:val="32"/>
        </w:rPr>
        <w:t>和</w:t>
      </w:r>
      <w:r>
        <w:rPr>
          <w:rFonts w:ascii="Times New Roman" w:hAnsi="Times New Roman" w:eastAsia="仿宋_GB2312"/>
          <w:sz w:val="32"/>
          <w:szCs w:val="32"/>
        </w:rPr>
        <w:t>麻章区</w:t>
      </w:r>
      <w:r>
        <w:rPr>
          <w:rFonts w:hint="eastAsia" w:ascii="Times New Roman" w:hAnsi="Times New Roman" w:eastAsia="仿宋_GB2312"/>
          <w:sz w:val="32"/>
          <w:szCs w:val="32"/>
        </w:rPr>
        <w:t>2021</w:t>
      </w:r>
      <w:r>
        <w:rPr>
          <w:rFonts w:ascii="Times New Roman" w:hAnsi="Times New Roman" w:eastAsia="仿宋_GB2312"/>
          <w:sz w:val="32"/>
          <w:szCs w:val="32"/>
        </w:rPr>
        <w:t>年度实施计划，</w:t>
      </w:r>
      <w:r>
        <w:rPr>
          <w:rFonts w:hint="eastAsia" w:ascii="Times New Roman" w:hAnsi="Times New Roman" w:eastAsia="仿宋_GB2312"/>
          <w:sz w:val="32"/>
          <w:szCs w:val="32"/>
        </w:rPr>
        <w:t>麻章</w:t>
      </w:r>
      <w:r>
        <w:rPr>
          <w:rFonts w:hint="eastAsia" w:ascii="Times New Roman" w:hAnsi="Times New Roman" w:eastAsia="仿宋_GB2312"/>
          <w:sz w:val="32"/>
          <w:szCs w:val="20"/>
        </w:rPr>
        <w:t>区</w:t>
      </w:r>
      <w:r>
        <w:rPr>
          <w:rFonts w:ascii="Times New Roman" w:hAnsi="Times New Roman" w:eastAsia="仿宋_GB2312"/>
          <w:sz w:val="32"/>
          <w:szCs w:val="20"/>
        </w:rPr>
        <w:t>拟实施</w:t>
      </w:r>
      <w:r>
        <w:rPr>
          <w:rFonts w:hint="eastAsia" w:ascii="仿宋_GB2312" w:hAnsi="仿宋_GB2312" w:eastAsia="仿宋_GB2312" w:cs="仿宋_GB2312"/>
          <w:sz w:val="32"/>
          <w:szCs w:val="32"/>
        </w:rPr>
        <w:t>广东诺科冷暖设备有限公司一期“三旧”改造方案</w:t>
      </w:r>
      <w:r>
        <w:rPr>
          <w:rFonts w:ascii="Times New Roman" w:hAnsi="Times New Roman" w:eastAsia="仿宋_GB2312"/>
          <w:sz w:val="32"/>
          <w:szCs w:val="20"/>
        </w:rPr>
        <w:t>，</w:t>
      </w:r>
      <w:r>
        <w:rPr>
          <w:rFonts w:ascii="Times New Roman" w:hAnsi="Times New Roman" w:eastAsia="仿宋_GB2312"/>
          <w:sz w:val="32"/>
          <w:szCs w:val="32"/>
        </w:rPr>
        <w:t>对位于</w:t>
      </w:r>
      <w:r>
        <w:rPr>
          <w:rFonts w:hint="eastAsia" w:ascii="仿宋_GB2312" w:hAnsi="仿宋_GB2312" w:eastAsia="仿宋_GB2312" w:cs="仿宋_GB2312"/>
          <w:sz w:val="32"/>
          <w:szCs w:val="32"/>
        </w:rPr>
        <w:t>麻章区金康中路60号</w:t>
      </w:r>
      <w:r>
        <w:rPr>
          <w:rFonts w:ascii="Times New Roman" w:hAnsi="Times New Roman" w:eastAsia="仿宋_GB2312"/>
          <w:sz w:val="32"/>
          <w:szCs w:val="32"/>
        </w:rPr>
        <w:t>的旧厂房用地进行改造。改造方案如下：</w:t>
      </w:r>
    </w:p>
    <w:p>
      <w:pPr>
        <w:snapToGrid w:val="0"/>
        <w:spacing w:line="540" w:lineRule="exact"/>
        <w:ind w:firstLine="640" w:firstLineChars="200"/>
        <w:rPr>
          <w:rFonts w:ascii="Times New Roman" w:hAnsi="Times New Roman" w:eastAsia="黑体"/>
          <w:sz w:val="32"/>
          <w:szCs w:val="32"/>
        </w:rPr>
      </w:pPr>
      <w:bookmarkStart w:id="0" w:name="_Toc2336_WPSOffice_Level2"/>
      <w:bookmarkStart w:id="1" w:name="_Toc14423_WPSOffice_Level2"/>
      <w:bookmarkStart w:id="2" w:name="_Toc24376_WPSOffice_Level2"/>
      <w:bookmarkStart w:id="3" w:name="_Toc5524_WPSOffice_Level2"/>
      <w:bookmarkStart w:id="4" w:name="_Toc23062_WPSOffice_Level2"/>
      <w:r>
        <w:rPr>
          <w:rFonts w:ascii="Times New Roman" w:hAnsi="Times New Roman" w:eastAsia="黑体"/>
          <w:sz w:val="32"/>
          <w:szCs w:val="32"/>
        </w:rPr>
        <w:t>一、改造地块基本情况</w:t>
      </w:r>
      <w:bookmarkEnd w:id="0"/>
      <w:bookmarkEnd w:id="1"/>
      <w:bookmarkEnd w:id="2"/>
      <w:bookmarkEnd w:id="3"/>
      <w:bookmarkEnd w:id="4"/>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（一）总体情况。</w:t>
      </w:r>
      <w:r>
        <w:rPr>
          <w:rFonts w:hint="eastAsia" w:ascii="仿宋_GB2312" w:hAnsi="仿宋_GB2312" w:eastAsia="仿宋_GB2312" w:cs="仿宋_GB2312"/>
          <w:sz w:val="32"/>
          <w:szCs w:val="32"/>
        </w:rPr>
        <w:t>广东诺科冷暖设备有限公司一期旧厂房用地位于麻章区金康中路60号，面积为22846.6</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平方米。</w:t>
      </w:r>
    </w:p>
    <w:p>
      <w:pPr>
        <w:widowControl/>
        <w:spacing w:line="540" w:lineRule="exact"/>
        <w:ind w:firstLine="640" w:firstLineChars="200"/>
        <w:rPr>
          <w:rStyle w:val="4"/>
          <w:rFonts w:ascii="仿宋_GB2312" w:hAnsi="仿宋_GB2312" w:eastAsia="仿宋_GB2312" w:cs="仿宋_GB2312"/>
          <w:sz w:val="32"/>
          <w:szCs w:val="32"/>
        </w:rPr>
      </w:pPr>
      <w:r>
        <w:rPr>
          <w:rFonts w:hint="eastAsia" w:ascii="仿宋_GB2312" w:hAnsi="仿宋_GB2312" w:eastAsia="仿宋_GB2312" w:cs="仿宋_GB2312"/>
          <w:sz w:val="32"/>
          <w:szCs w:val="32"/>
        </w:rPr>
        <w:t>因广东诺科冷暖设备有限公司需扩大生产规模，原址不能满足生产需求，2019年3月起共投入10880万元完成麻章区金康西路新厂区的建设和搬迁，新建了29568.83平方米（约44.35亩）土地的厂房，新增产值2亿元，增加税收1400万元。根据《湛江市城市总体规划（2011-2020年）》和《湛江市麻章区</w:t>
      </w:r>
      <w:r>
        <w:rPr>
          <w:rFonts w:hint="eastAsia" w:ascii="仿宋_GB2312" w:hAnsi="仿宋_GB2312" w:eastAsia="仿宋_GB2312" w:cs="仿宋_GB2312"/>
          <w:sz w:val="32"/>
          <w:szCs w:val="32"/>
          <w:lang w:eastAsia="zh-CN"/>
        </w:rPr>
        <w:t>三旧改造项目地块</w:t>
      </w:r>
      <w:r>
        <w:rPr>
          <w:rFonts w:hint="eastAsia" w:ascii="仿宋_GB2312" w:hAnsi="仿宋_GB2312" w:eastAsia="仿宋_GB2312" w:cs="仿宋_GB2312"/>
          <w:sz w:val="32"/>
          <w:szCs w:val="32"/>
        </w:rPr>
        <w:t>控制性详细规划</w:t>
      </w:r>
      <w:r>
        <w:rPr>
          <w:rFonts w:hint="eastAsia" w:ascii="仿宋_GB2312" w:hAnsi="仿宋_GB2312" w:eastAsia="仿宋_GB2312" w:cs="仿宋_GB2312"/>
          <w:sz w:val="32"/>
          <w:szCs w:val="32"/>
          <w:lang w:eastAsia="zh-CN"/>
        </w:rPr>
        <w:t>（局部调整</w:t>
      </w:r>
      <w:r>
        <w:rPr>
          <w:rFonts w:hint="eastAsia" w:ascii="仿宋_GB2312" w:hAnsi="仿宋_GB2312" w:eastAsia="仿宋_GB2312" w:cs="仿宋_GB2312"/>
          <w:sz w:val="32"/>
          <w:szCs w:val="32"/>
        </w:rPr>
        <w:t>》，麻章区定位为发展高铁经济区，加快谋划建设高铁经济区。该地块位于麻章区中心城区，且属于城市更新改造的重点片区，与周边地块连片规划为住宅。若该地块继续进行生产经营或“工改工”，与片区发展定位不符，将会对周边人们的生活、居住等造成空气、土壤、水资源、噪声、交通安全等方面的影响；“工改M0”亦无产业支撑，改造后依然难以运营。根据已下达用地规划条件（湛自然资（规管）〔2020〕123号、湛自然资（规管）〔2021〕139号、湛自然资（规管）〔2021〕236号），该地块用地规划用途已变更为二类居住用地、城市道路用地、防护绿地，企业进行“工改居”，既能落实城规，盘活低效用地，又能增加政府税收和解决企业发展，符合城市更新政策的初衷和要求，能够创造良好的社会效益。</w:t>
      </w:r>
    </w:p>
    <w:p>
      <w:pPr>
        <w:snapToGrid w:val="0"/>
        <w:spacing w:line="540" w:lineRule="exact"/>
        <w:ind w:firstLine="640" w:firstLineChars="200"/>
        <w:rPr>
          <w:rFonts w:ascii="Times New Roman" w:hAnsi="Times New Roman" w:eastAsia="仿宋_GB2312"/>
          <w:sz w:val="32"/>
          <w:szCs w:val="32"/>
        </w:rPr>
      </w:pPr>
      <w:r>
        <w:rPr>
          <w:rFonts w:ascii="仿宋_GB2312" w:hAnsi="仿宋_GB2312" w:eastAsia="仿宋_GB2312" w:cs="仿宋_GB2312"/>
          <w:sz w:val="32"/>
          <w:szCs w:val="32"/>
        </w:rPr>
        <w:t>（二）土地现状情况。</w:t>
      </w:r>
      <w:r>
        <w:rPr>
          <w:rFonts w:hint="eastAsia" w:ascii="仿宋_GB2312" w:hAnsi="仿宋_GB2312" w:eastAsia="仿宋_GB2312" w:cs="仿宋_GB2312"/>
          <w:sz w:val="32"/>
          <w:szCs w:val="32"/>
        </w:rPr>
        <w:t>改造项目</w:t>
      </w:r>
      <w:r>
        <w:rPr>
          <w:rFonts w:hint="eastAsia" w:ascii="仿宋_GB2312" w:hAnsi="仿宋_GB2312" w:eastAsia="仿宋_GB2312" w:cs="仿宋_GB2312"/>
          <w:sz w:val="32"/>
          <w:szCs w:val="32"/>
          <w:lang w:eastAsia="zh-CN"/>
        </w:rPr>
        <w:t>主地块</w:t>
      </w:r>
      <w:r>
        <w:rPr>
          <w:rFonts w:hint="eastAsia" w:ascii="仿宋_GB2312" w:hAnsi="仿宋_GB2312" w:eastAsia="仿宋_GB2312" w:cs="仿宋_GB2312"/>
          <w:sz w:val="32"/>
          <w:szCs w:val="32"/>
          <w:lang w:val="en-US" w:eastAsia="zh-CN"/>
        </w:rPr>
        <w:t>21258.01平方米，“三地”1588.6平方米，地块总面积</w:t>
      </w:r>
      <w:r>
        <w:rPr>
          <w:rFonts w:hint="eastAsia" w:ascii="仿宋_GB2312" w:hAnsi="仿宋_GB2312" w:eastAsia="仿宋_GB2312" w:cs="仿宋_GB2312"/>
          <w:sz w:val="32"/>
          <w:szCs w:val="32"/>
        </w:rPr>
        <w:t>22846.61平方米</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现状全部为国有建设用地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现用途为</w:t>
      </w:r>
      <w:r>
        <w:rPr>
          <w:rFonts w:hint="eastAsia" w:ascii="仿宋_GB2312" w:hAnsi="仿宋_GB2312" w:eastAsia="仿宋_GB2312" w:cs="仿宋_GB2312"/>
          <w:sz w:val="32"/>
          <w:szCs w:val="32"/>
        </w:rPr>
        <w:t>工业</w:t>
      </w:r>
      <w:r>
        <w:rPr>
          <w:rFonts w:ascii="仿宋_GB2312" w:hAnsi="仿宋_GB2312" w:eastAsia="仿宋_GB2312" w:cs="仿宋_GB2312"/>
          <w:sz w:val="32"/>
          <w:szCs w:val="32"/>
        </w:rPr>
        <w:t>用地</w:t>
      </w:r>
      <w:r>
        <w:rPr>
          <w:rFonts w:hint="eastAsia" w:ascii="仿宋_GB2312" w:hAnsi="仿宋_GB2312" w:eastAsia="仿宋_GB2312" w:cs="仿宋_GB2312"/>
          <w:sz w:val="32"/>
          <w:szCs w:val="32"/>
        </w:rPr>
        <w:t>和空闲地。自2004年开始由广东诺科冷暖设备有限公司使用至今，</w:t>
      </w:r>
      <w:r>
        <w:rPr>
          <w:rFonts w:ascii="Times New Roman" w:hAnsi="Times New Roman" w:eastAsia="仿宋_GB2312"/>
          <w:sz w:val="32"/>
          <w:szCs w:val="32"/>
        </w:rPr>
        <w:t>现有建筑面积</w:t>
      </w:r>
      <w:r>
        <w:rPr>
          <w:rFonts w:hint="eastAsia" w:ascii="仿宋_GB2312" w:hAnsi="仿宋_GB2312" w:eastAsia="仿宋_GB2312" w:cs="仿宋_GB2312"/>
          <w:sz w:val="32"/>
          <w:szCs w:val="32"/>
        </w:rPr>
        <w:t>16153.36</w:t>
      </w:r>
      <w:r>
        <w:rPr>
          <w:rFonts w:ascii="Times New Roman" w:hAnsi="Times New Roman" w:eastAsia="仿宋_GB2312"/>
          <w:sz w:val="32"/>
          <w:szCs w:val="32"/>
        </w:rPr>
        <w:t>平方米，容积率为</w:t>
      </w:r>
      <w:r>
        <w:rPr>
          <w:rFonts w:hint="eastAsia" w:ascii="仿宋_GB2312" w:hAnsi="仿宋_GB2312" w:eastAsia="仿宋_GB2312" w:cs="仿宋_GB2312"/>
          <w:sz w:val="32"/>
          <w:szCs w:val="32"/>
        </w:rPr>
        <w:t>0.707</w:t>
      </w:r>
      <w:r>
        <w:rPr>
          <w:rFonts w:ascii="Times New Roman" w:hAnsi="Times New Roman" w:eastAsia="仿宋_GB2312"/>
          <w:sz w:val="32"/>
          <w:szCs w:val="32"/>
        </w:rPr>
        <w:t>，年产值为</w:t>
      </w:r>
      <w:r>
        <w:rPr>
          <w:rFonts w:hint="eastAsia" w:ascii="Times New Roman" w:hAnsi="Times New Roman" w:eastAsia="仿宋_GB2312"/>
          <w:sz w:val="32"/>
          <w:szCs w:val="32"/>
        </w:rPr>
        <w:t>2亿</w:t>
      </w:r>
      <w:r>
        <w:rPr>
          <w:rFonts w:ascii="Times New Roman" w:hAnsi="Times New Roman" w:eastAsia="仿宋_GB2312"/>
          <w:sz w:val="32"/>
          <w:szCs w:val="32"/>
        </w:rPr>
        <w:t>元。</w:t>
      </w:r>
      <w:r>
        <w:rPr>
          <w:rFonts w:hint="eastAsia" w:ascii="仿宋_GB2312" w:hAnsi="仿宋_GB2312" w:eastAsia="仿宋_GB2312" w:cs="仿宋_GB2312"/>
          <w:sz w:val="32"/>
          <w:szCs w:val="32"/>
        </w:rPr>
        <w:t>因新厂房己建好并搬迁，该地块从2019年1月份起停工停产至今。</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改造项目地块涉及三宗土地：地块一面积为</w:t>
      </w:r>
      <w:r>
        <w:rPr>
          <w:rFonts w:ascii="仿宋_GB2312" w:hAnsi="仿宋_GB2312" w:eastAsia="仿宋_GB2312" w:cs="仿宋_GB2312"/>
          <w:sz w:val="32"/>
          <w:szCs w:val="32"/>
        </w:rPr>
        <w:t>17759.26</w:t>
      </w:r>
      <w:r>
        <w:rPr>
          <w:rFonts w:hint="eastAsia" w:ascii="仿宋_GB2312" w:hAnsi="仿宋_GB2312" w:eastAsia="仿宋_GB2312" w:cs="仿宋_GB2312"/>
          <w:sz w:val="32"/>
          <w:szCs w:val="32"/>
        </w:rPr>
        <w:t>平方米，地块二面积为</w:t>
      </w:r>
      <w:r>
        <w:rPr>
          <w:rFonts w:ascii="仿宋_GB2312" w:hAnsi="仿宋_GB2312" w:eastAsia="仿宋_GB2312" w:cs="仿宋_GB2312"/>
          <w:sz w:val="32"/>
          <w:szCs w:val="32"/>
        </w:rPr>
        <w:t>3498.75</w:t>
      </w:r>
      <w:r>
        <w:rPr>
          <w:rFonts w:hint="eastAsia" w:ascii="仿宋_GB2312" w:hAnsi="仿宋_GB2312" w:eastAsia="仿宋_GB2312" w:cs="仿宋_GB2312"/>
          <w:sz w:val="32"/>
          <w:szCs w:val="32"/>
        </w:rPr>
        <w:t>平方米，1996年2月15日，湛江市麻章区国土局将该土地使用权出让给湛江市中新电气公司；2004年12月10日，湛江市中新电气有限公司将该宗地作价入股给广东诺科冷暖设备有限公司，国有土地使用证为湛国用（2004）第00282号；2020年3月13日办理新不动产权证，证号分别为：粤（2020）湛江市不动产权第0015293号、第0015294号，</w:t>
      </w:r>
      <w:r>
        <w:rPr>
          <w:rStyle w:val="4"/>
          <w:rFonts w:hint="eastAsia" w:ascii="仿宋_GB2312" w:hAnsi="仿宋_GB2312" w:eastAsia="仿宋_GB2312" w:cs="仿宋_GB2312"/>
          <w:sz w:val="32"/>
          <w:szCs w:val="32"/>
        </w:rPr>
        <w:t>权利人</w:t>
      </w:r>
      <w:r>
        <w:rPr>
          <w:rFonts w:hint="eastAsia" w:ascii="仿宋_GB2312" w:hAnsi="仿宋_GB2312" w:eastAsia="仿宋_GB2312" w:cs="仿宋_GB2312"/>
          <w:sz w:val="32"/>
          <w:szCs w:val="32"/>
        </w:rPr>
        <w:t>为广东诺科冷暖设备有限公司，土地用途为工业用地，使用权类型为出让。</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三面积为1588.6平方米，地下埋有中国人民解放军75841部队的国防电缆，2019年11月5日，中国人民解放军75841部队90分队已复函同意将该宗土地的地下国防光缆迁改至本宗地红线西侧内;2020年3月19日，办理不动产权证（粤（2020）湛江市不动产权第0016648号），</w:t>
      </w:r>
      <w:r>
        <w:rPr>
          <w:rStyle w:val="4"/>
          <w:rFonts w:hint="eastAsia" w:ascii="仿宋_GB2312" w:hAnsi="仿宋_GB2312" w:eastAsia="仿宋_GB2312" w:cs="仿宋_GB2312"/>
          <w:sz w:val="32"/>
          <w:szCs w:val="32"/>
        </w:rPr>
        <w:t>权利人</w:t>
      </w:r>
      <w:r>
        <w:rPr>
          <w:rFonts w:hint="eastAsia" w:ascii="仿宋_GB2312" w:hAnsi="仿宋_GB2312" w:eastAsia="仿宋_GB2312" w:cs="仿宋_GB2312"/>
          <w:sz w:val="32"/>
          <w:szCs w:val="32"/>
        </w:rPr>
        <w:t>为湛江市土地储备管理中心，权利性质为国有土地，土地用途为121（空闲地，指城镇、村庄、工矿内部尚未利用的土地）。地块三夹在地块一和地块二中间，形状狭长，难以单独改造开发。根据湛土储函﹝2020﹞232号文，湛江市土地储备管理中心同意地块三按“三地”纳入“三旧”改造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改造方案批复后再按程序供地。</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上述三宗土地改造涉及的房屋、土地已经确权、登记。</w:t>
      </w:r>
    </w:p>
    <w:p>
      <w:pPr>
        <w:spacing w:line="540" w:lineRule="exact"/>
        <w:ind w:firstLine="640" w:firstLineChars="200"/>
        <w:rPr>
          <w:rFonts w:ascii="仿宋_GB2312" w:hAnsi="仿宋_GB2312" w:eastAsia="仿宋_GB2312" w:cs="仿宋_GB2312"/>
          <w:sz w:val="32"/>
          <w:szCs w:val="32"/>
        </w:rPr>
      </w:pPr>
      <w:r>
        <w:rPr>
          <w:rFonts w:ascii="Times New Roman" w:hAnsi="Times New Roman" w:eastAsia="楷体_GB2312"/>
          <w:bCs/>
          <w:sz w:val="32"/>
          <w:szCs w:val="32"/>
        </w:rPr>
        <w:t>（三）标图入库情况。</w:t>
      </w:r>
      <w:r>
        <w:rPr>
          <w:rFonts w:ascii="Times New Roman" w:hAnsi="Times New Roman" w:eastAsia="仿宋_GB2312"/>
          <w:sz w:val="32"/>
          <w:szCs w:val="32"/>
        </w:rPr>
        <w:t>该改造项目地块</w:t>
      </w:r>
      <w:r>
        <w:rPr>
          <w:rFonts w:hint="eastAsia" w:ascii="仿宋_GB2312" w:hAnsi="仿宋_GB2312" w:eastAsia="仿宋_GB2312" w:cs="仿宋_GB2312"/>
          <w:sz w:val="32"/>
          <w:szCs w:val="32"/>
        </w:rPr>
        <w:t>22797.29平方米</w:t>
      </w:r>
      <w:r>
        <w:rPr>
          <w:rFonts w:ascii="Times New Roman" w:hAnsi="Times New Roman" w:eastAsia="仿宋_GB2312"/>
          <w:sz w:val="32"/>
          <w:szCs w:val="32"/>
        </w:rPr>
        <w:t>土地已标图入库，图斑号为</w:t>
      </w:r>
      <w:r>
        <w:rPr>
          <w:rFonts w:hint="eastAsia" w:ascii="仿宋_GB2312" w:hAnsi="仿宋_GB2312" w:eastAsia="仿宋_GB2312" w:cs="仿宋_GB2312"/>
          <w:sz w:val="32"/>
          <w:szCs w:val="32"/>
        </w:rPr>
        <w:t>44081100063，49.32平方米土地未纳入标图建库范围（用地规划条件为居</w:t>
      </w:r>
      <w:r>
        <w:rPr>
          <w:rFonts w:hint="eastAsia" w:ascii="Times New Roman" w:hAnsi="Times New Roman" w:eastAsia="仿宋_GB2312"/>
          <w:sz w:val="32"/>
          <w:szCs w:val="32"/>
        </w:rPr>
        <w:t>住用地），未纳入标图建库范围的土地不享受“三旧”改造政策。</w:t>
      </w:r>
    </w:p>
    <w:p>
      <w:pPr>
        <w:spacing w:line="540" w:lineRule="exact"/>
        <w:ind w:firstLine="640" w:firstLineChars="200"/>
        <w:rPr>
          <w:rFonts w:ascii="仿宋_GB2312" w:hAnsi="仿宋_GB2312" w:eastAsia="仿宋_GB2312" w:cs="仿宋_GB2312"/>
          <w:sz w:val="32"/>
          <w:szCs w:val="32"/>
        </w:rPr>
      </w:pPr>
      <w:r>
        <w:rPr>
          <w:rFonts w:ascii="Times New Roman" w:hAnsi="Times New Roman" w:eastAsia="楷体_GB2312"/>
          <w:bCs/>
          <w:sz w:val="32"/>
          <w:szCs w:val="32"/>
        </w:rPr>
        <w:t>（四）规划情况。</w:t>
      </w:r>
      <w:r>
        <w:rPr>
          <w:rFonts w:ascii="Times New Roman" w:hAnsi="Times New Roman" w:eastAsia="仿宋_GB2312"/>
          <w:sz w:val="32"/>
          <w:szCs w:val="32"/>
        </w:rPr>
        <w:t>改造项目地块</w:t>
      </w:r>
      <w:r>
        <w:rPr>
          <w:rFonts w:hint="eastAsia" w:ascii="仿宋_GB2312" w:hAnsi="仿宋_GB2312" w:eastAsia="仿宋_GB2312" w:cs="仿宋_GB2312"/>
          <w:sz w:val="32"/>
          <w:szCs w:val="32"/>
        </w:rPr>
        <w:t>22846.61平方米</w:t>
      </w:r>
      <w:r>
        <w:rPr>
          <w:rFonts w:hint="eastAsia" w:ascii="Times New Roman" w:hAnsi="Times New Roman" w:eastAsia="仿宋_GB2312"/>
          <w:sz w:val="32"/>
          <w:szCs w:val="32"/>
        </w:rPr>
        <w:t>全部</w:t>
      </w:r>
      <w:r>
        <w:rPr>
          <w:rFonts w:ascii="Times New Roman" w:hAnsi="Times New Roman" w:eastAsia="仿宋_GB2312"/>
          <w:sz w:val="32"/>
          <w:szCs w:val="32"/>
        </w:rPr>
        <w:t>符合国土空间总体规划</w:t>
      </w:r>
      <w:bookmarkStart w:id="5" w:name="_Toc26729_WPSOffice_Level2"/>
      <w:bookmarkStart w:id="6" w:name="_Toc29068_WPSOffice_Level2"/>
      <w:bookmarkStart w:id="7" w:name="_Toc22135_WPSOffice_Level2"/>
      <w:bookmarkStart w:id="8" w:name="_Toc8923_WPSOffice_Level2"/>
      <w:bookmarkStart w:id="9" w:name="_Toc23898_WPSOffice_Level2"/>
      <w:r>
        <w:rPr>
          <w:rFonts w:ascii="Times New Roman" w:hAnsi="Times New Roman" w:eastAsia="仿宋_GB2312"/>
          <w:sz w:val="32"/>
          <w:szCs w:val="32"/>
        </w:rPr>
        <w:t>（土地利用总体规划、</w:t>
      </w:r>
      <w:r>
        <w:rPr>
          <w:rFonts w:hint="eastAsia" w:ascii="仿宋" w:hAnsi="仿宋" w:eastAsia="仿宋"/>
          <w:sz w:val="32"/>
          <w:szCs w:val="32"/>
        </w:rPr>
        <w:t>《湛江市城市总体规划（2011-2020年）》</w:t>
      </w:r>
      <w:r>
        <w:rPr>
          <w:rFonts w:ascii="Times New Roman" w:hAnsi="Times New Roman" w:eastAsia="仿宋_GB2312"/>
          <w:sz w:val="32"/>
          <w:szCs w:val="32"/>
        </w:rPr>
        <w:t>）</w:t>
      </w:r>
      <w:r>
        <w:rPr>
          <w:rFonts w:hint="eastAsia" w:ascii="仿宋" w:hAnsi="仿宋" w:eastAsia="仿宋"/>
          <w:sz w:val="32"/>
          <w:szCs w:val="32"/>
        </w:rPr>
        <w:t>，符合</w:t>
      </w:r>
      <w:r>
        <w:rPr>
          <w:rFonts w:hint="eastAsia" w:ascii="仿宋_GB2312" w:hAnsi="仿宋_GB2312" w:eastAsia="仿宋_GB2312" w:cs="仿宋_GB2312"/>
          <w:sz w:val="32"/>
          <w:szCs w:val="32"/>
        </w:rPr>
        <w:t>《湛江市麻章区</w:t>
      </w:r>
      <w:r>
        <w:rPr>
          <w:rFonts w:hint="eastAsia" w:ascii="仿宋_GB2312" w:hAnsi="仿宋_GB2312" w:eastAsia="仿宋_GB2312" w:cs="仿宋_GB2312"/>
          <w:sz w:val="32"/>
          <w:szCs w:val="32"/>
          <w:lang w:eastAsia="zh-CN"/>
        </w:rPr>
        <w:t>三旧改造项目地块</w:t>
      </w:r>
      <w:r>
        <w:rPr>
          <w:rFonts w:hint="eastAsia" w:ascii="仿宋_GB2312" w:hAnsi="仿宋_GB2312" w:eastAsia="仿宋_GB2312" w:cs="仿宋_GB2312"/>
          <w:sz w:val="32"/>
          <w:szCs w:val="32"/>
        </w:rPr>
        <w:t>控制性详细规划</w:t>
      </w:r>
      <w:r>
        <w:rPr>
          <w:rFonts w:hint="eastAsia" w:ascii="仿宋_GB2312" w:hAnsi="仿宋_GB2312" w:eastAsia="仿宋_GB2312" w:cs="仿宋_GB2312"/>
          <w:sz w:val="32"/>
          <w:szCs w:val="32"/>
          <w:lang w:eastAsia="zh-CN"/>
        </w:rPr>
        <w:t>（局部调整</w:t>
      </w:r>
      <w:r>
        <w:rPr>
          <w:rFonts w:hint="eastAsia" w:ascii="仿宋_GB2312" w:hAnsi="仿宋_GB2312" w:eastAsia="仿宋_GB2312" w:cs="仿宋_GB2312"/>
          <w:sz w:val="32"/>
          <w:szCs w:val="32"/>
        </w:rPr>
        <w:t>》</w:t>
      </w:r>
      <w:r>
        <w:rPr>
          <w:rFonts w:hint="eastAsia" w:ascii="仿宋" w:hAnsi="仿宋" w:eastAsia="仿宋"/>
          <w:sz w:val="32"/>
          <w:szCs w:val="32"/>
        </w:rPr>
        <w:t>。</w:t>
      </w:r>
      <w:r>
        <w:rPr>
          <w:rFonts w:hint="eastAsia" w:ascii="仿宋_GB2312" w:hAnsi="仿宋_GB2312" w:eastAsia="仿宋_GB2312" w:cs="仿宋_GB2312"/>
          <w:sz w:val="32"/>
          <w:szCs w:val="32"/>
        </w:rPr>
        <w:t>根据《湛江市自然资源局关于下达湛江市麻章区金康中路60号21258.01平方米用地规划条件的批复》（湛自然资（规管）〔2021〕139号）、《湛江市自然资源局关于下达湛江市麻章区金康中路60号1588.60平方米用地规划条件的批复》（湛自然资（规管）〔2020〕123号）和《湛江市自然资源局关于明确湛江市麻章区金康中路60号1588.6平方米用地容积率指标计算问题的复函》（湛自然资（规管）〔2021〕236号），有关用地规划条件如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三宗地总用地面积22846.6</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平方米。</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一：面积为17759.26平方米，其中，二类居住用地面积16089.7平方米，兼容B1商业用地，容积率≤3.1，建筑密度≤25%，绿地率≥35%（商业用地面积占总用地面积的20%，容积率按3.1控制）；防护绿地面积1489.43平方米；城市道路用地面积180.13平方米。</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二：面积为3498.75平方米，其中，二类居住用地面积2482.1平方米，兼容B1商业用地，容积率≤3.1，建筑密度≤25%，绿地率≥35%（商业用地面积占总用地面积的20%，容积率按3.1控制）；防护绿地面积889.1平方米；城市道路用地面积127.55平方米。</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三：面积为1588.6平方米，其中二类居住用地面积1360.86平方米，容积率≤3.1，建筑密度≤25%，绿地率≥35%；可兼容商业用地（B1），居住计容面积不小于总计容面积的80%，商业计容面积不大于总计容面积的20%；防护绿地面积201.43平方米；城市道路用地面积26.31平方米。</w:t>
      </w:r>
    </w:p>
    <w:p>
      <w:pPr>
        <w:spacing w:line="54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rPr>
        <w:t>属于“三旧”改造（城市更新）项目权属范围内，且出资配建绿地、道路和学校等公共服务设施，可按《技术规定》1.0.13条规定，该用地面积可按50%纳入项目用地容积率计算。</w:t>
      </w:r>
    </w:p>
    <w:p>
      <w:pPr>
        <w:snapToGrid w:val="0"/>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二、改造意愿及补偿安置情况</w:t>
      </w:r>
      <w:bookmarkEnd w:id="5"/>
      <w:bookmarkEnd w:id="6"/>
      <w:bookmarkEnd w:id="7"/>
      <w:bookmarkEnd w:id="8"/>
      <w:bookmarkEnd w:id="9"/>
    </w:p>
    <w:p>
      <w:pPr>
        <w:spacing w:line="540" w:lineRule="exact"/>
        <w:ind w:firstLine="627" w:firstLineChars="196"/>
        <w:rPr>
          <w:rFonts w:ascii="仿宋" w:hAnsi="仿宋" w:eastAsia="仿宋"/>
          <w:sz w:val="32"/>
          <w:szCs w:val="32"/>
        </w:rPr>
      </w:pPr>
      <w:r>
        <w:rPr>
          <w:rFonts w:ascii="Times New Roman" w:hAnsi="Times New Roman" w:eastAsia="仿宋_GB2312"/>
          <w:sz w:val="32"/>
          <w:szCs w:val="32"/>
        </w:rPr>
        <w:t>改造项目地块由</w:t>
      </w:r>
      <w:r>
        <w:rPr>
          <w:rFonts w:hint="eastAsia" w:ascii="仿宋_GB2312" w:hAnsi="仿宋_GB2312" w:eastAsia="仿宋_GB2312" w:cs="仿宋_GB2312"/>
          <w:sz w:val="32"/>
          <w:szCs w:val="32"/>
        </w:rPr>
        <w:t>广东诺科冷暖设备有限公司自行改造</w:t>
      </w:r>
      <w:r>
        <w:rPr>
          <w:rFonts w:hint="eastAsia" w:ascii="仿宋" w:hAnsi="仿宋" w:eastAsia="仿宋"/>
          <w:sz w:val="32"/>
          <w:szCs w:val="32"/>
        </w:rPr>
        <w:t>，具体拆迁工作由</w:t>
      </w:r>
      <w:r>
        <w:rPr>
          <w:rFonts w:hint="eastAsia" w:ascii="仿宋_GB2312" w:hAnsi="仿宋_GB2312" w:eastAsia="仿宋_GB2312" w:cs="仿宋_GB2312"/>
          <w:sz w:val="32"/>
          <w:szCs w:val="32"/>
        </w:rPr>
        <w:t>广东诺科冷暖设备有限公司</w:t>
      </w:r>
      <w:r>
        <w:rPr>
          <w:rFonts w:hint="eastAsia" w:ascii="仿宋" w:hAnsi="仿宋" w:eastAsia="仿宋"/>
          <w:sz w:val="32"/>
          <w:szCs w:val="32"/>
        </w:rPr>
        <w:t>自行解决，不涉及</w:t>
      </w:r>
      <w:r>
        <w:rPr>
          <w:rFonts w:ascii="仿宋" w:hAnsi="仿宋" w:eastAsia="仿宋"/>
          <w:bCs/>
          <w:sz w:val="32"/>
          <w:szCs w:val="32"/>
        </w:rPr>
        <w:t>补偿安置</w:t>
      </w:r>
      <w:r>
        <w:rPr>
          <w:rFonts w:hint="eastAsia" w:ascii="仿宋" w:hAnsi="仿宋" w:eastAsia="仿宋"/>
          <w:sz w:val="32"/>
          <w:szCs w:val="32"/>
        </w:rPr>
        <w:t>和</w:t>
      </w:r>
      <w:r>
        <w:rPr>
          <w:rFonts w:ascii="仿宋" w:hAnsi="仿宋" w:eastAsia="仿宋"/>
          <w:bCs/>
          <w:sz w:val="32"/>
          <w:szCs w:val="32"/>
        </w:rPr>
        <w:t>开展社会稳定风险评估</w:t>
      </w:r>
      <w:r>
        <w:rPr>
          <w:rFonts w:hint="eastAsia" w:ascii="仿宋_GB2312" w:hAnsi="仿宋_GB2312" w:eastAsia="仿宋_GB2312" w:cs="仿宋_GB2312"/>
          <w:sz w:val="32"/>
          <w:szCs w:val="32"/>
        </w:rPr>
        <w:t>。湛江市土地储备管理中心以湛土储函﹝2020﹞232号文同意1588.6平方米用地纳入广东诺科冷暖设备有限公司的“三旧”项目规划，具体待项目“三旧”改造方案批复后，按照程序供地。</w:t>
      </w:r>
    </w:p>
    <w:p>
      <w:pPr>
        <w:snapToGrid w:val="0"/>
        <w:spacing w:line="540" w:lineRule="exact"/>
        <w:ind w:firstLine="640" w:firstLineChars="200"/>
        <w:rPr>
          <w:rFonts w:ascii="Times New Roman" w:hAnsi="Times New Roman" w:eastAsia="黑体"/>
          <w:sz w:val="32"/>
          <w:szCs w:val="32"/>
        </w:rPr>
      </w:pPr>
      <w:bookmarkStart w:id="10" w:name="_Toc5250_WPSOffice_Level2"/>
      <w:bookmarkStart w:id="11" w:name="_Toc30458_WPSOffice_Level2"/>
      <w:bookmarkStart w:id="12" w:name="_Toc17940_WPSOffice_Level2"/>
      <w:bookmarkStart w:id="13" w:name="_Toc1579_WPSOffice_Level2"/>
      <w:bookmarkStart w:id="14" w:name="_Toc5622_WPSOffice_Level2"/>
      <w:r>
        <w:rPr>
          <w:rFonts w:ascii="Times New Roman" w:hAnsi="Times New Roman" w:eastAsia="黑体"/>
          <w:sz w:val="32"/>
          <w:szCs w:val="32"/>
        </w:rPr>
        <w:t>三、改造主体及拟改造情况</w:t>
      </w:r>
      <w:bookmarkEnd w:id="10"/>
      <w:bookmarkEnd w:id="11"/>
      <w:bookmarkEnd w:id="12"/>
      <w:bookmarkEnd w:id="13"/>
      <w:bookmarkEnd w:id="14"/>
    </w:p>
    <w:p>
      <w:pPr>
        <w:snapToGrid w:val="0"/>
        <w:spacing w:line="54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该改造项目属于全面改造，拟采取企业自改模式，由</w:t>
      </w:r>
      <w:r>
        <w:rPr>
          <w:rFonts w:hint="eastAsia" w:ascii="仿宋_GB2312" w:hAnsi="仿宋_GB2312" w:eastAsia="仿宋_GB2312" w:cs="仿宋_GB2312"/>
          <w:sz w:val="32"/>
          <w:szCs w:val="32"/>
        </w:rPr>
        <w:t>广东诺科冷暖设备有限公司</w:t>
      </w:r>
      <w:r>
        <w:rPr>
          <w:rFonts w:ascii="Times New Roman" w:hAnsi="Times New Roman" w:eastAsia="仿宋_GB2312"/>
          <w:sz w:val="32"/>
          <w:szCs w:val="32"/>
        </w:rPr>
        <w:t>作为改造主体。</w:t>
      </w:r>
      <w:r>
        <w:rPr>
          <w:rFonts w:hint="eastAsia" w:ascii="Times New Roman" w:hAnsi="Times New Roman" w:eastAsia="仿宋_GB2312"/>
          <w:sz w:val="32"/>
          <w:szCs w:val="32"/>
        </w:rPr>
        <w:t>其中，拆除重建用地面积</w:t>
      </w:r>
      <w:r>
        <w:rPr>
          <w:rFonts w:hint="eastAsia" w:ascii="仿宋_GB2312" w:hAnsi="仿宋_GB2312" w:eastAsia="仿宋_GB2312" w:cs="仿宋_GB2312"/>
          <w:sz w:val="32"/>
          <w:szCs w:val="32"/>
        </w:rPr>
        <w:t>22846.61平方米，拆除建筑面积16153.36</w:t>
      </w:r>
      <w:r>
        <w:rPr>
          <w:rFonts w:ascii="Times New Roman" w:hAnsi="Times New Roman" w:eastAsia="仿宋_GB2312"/>
          <w:sz w:val="32"/>
          <w:szCs w:val="32"/>
        </w:rPr>
        <w:t>平方米</w:t>
      </w:r>
      <w:r>
        <w:rPr>
          <w:rFonts w:hint="eastAsia" w:ascii="Times New Roman" w:hAnsi="Times New Roman" w:eastAsia="仿宋_GB2312"/>
          <w:sz w:val="32"/>
          <w:szCs w:val="32"/>
        </w:rPr>
        <w:t>，</w:t>
      </w:r>
      <w:r>
        <w:rPr>
          <w:rFonts w:ascii="仿宋_GB2312" w:hAnsi="仿宋_GB2312" w:eastAsia="仿宋_GB2312" w:cs="仿宋_GB2312"/>
          <w:sz w:val="32"/>
          <w:szCs w:val="32"/>
        </w:rPr>
        <w:t>新建建筑面积</w:t>
      </w:r>
      <w:r>
        <w:rPr>
          <w:rFonts w:hint="eastAsia" w:ascii="仿宋_GB2312" w:hAnsi="仿宋_GB2312" w:eastAsia="仿宋_GB2312" w:cs="仿宋_GB2312"/>
          <w:sz w:val="32"/>
          <w:szCs w:val="32"/>
        </w:rPr>
        <w:t>66307.87平方米（最终以批准的修建性详细规划为准），用于居住用途，容积率不大于3.1.</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改造后价值约7亿元，利润约0.9亿元，为国家创造税收约0.5亿元，为社会创造就业岗位约200个，配建防护绿地2579.96平方米、城市道路用地333.99平方米及托儿所、托老所等城市基础配套设施。</w:t>
      </w:r>
    </w:p>
    <w:p>
      <w:pPr>
        <w:snapToGrid w:val="0"/>
        <w:spacing w:line="540" w:lineRule="exact"/>
        <w:ind w:firstLine="640" w:firstLineChars="200"/>
        <w:rPr>
          <w:rFonts w:ascii="Times New Roman" w:hAnsi="Times New Roman" w:eastAsia="黑体"/>
          <w:sz w:val="32"/>
          <w:szCs w:val="32"/>
        </w:rPr>
      </w:pPr>
      <w:bookmarkStart w:id="15" w:name="_Toc2360_WPSOffice_Level2"/>
      <w:bookmarkStart w:id="16" w:name="_Toc7371_WPSOffice_Level2"/>
      <w:bookmarkStart w:id="17" w:name="_Toc10924_WPSOffice_Level2"/>
      <w:bookmarkStart w:id="18" w:name="_Toc22569_WPSOffice_Level2"/>
      <w:bookmarkStart w:id="19" w:name="_Toc19050_WPSOffice_Level2"/>
      <w:r>
        <w:rPr>
          <w:rFonts w:hint="eastAsia" w:ascii="Times New Roman" w:hAnsi="Times New Roman" w:eastAsia="黑体"/>
          <w:sz w:val="32"/>
          <w:szCs w:val="32"/>
        </w:rPr>
        <w:t>四</w:t>
      </w:r>
      <w:r>
        <w:rPr>
          <w:rFonts w:ascii="Times New Roman" w:hAnsi="Times New Roman" w:eastAsia="黑体"/>
          <w:sz w:val="32"/>
          <w:szCs w:val="32"/>
        </w:rPr>
        <w:t>、资金筹措</w:t>
      </w:r>
      <w:bookmarkEnd w:id="15"/>
      <w:bookmarkEnd w:id="16"/>
      <w:bookmarkEnd w:id="17"/>
      <w:bookmarkEnd w:id="18"/>
      <w:bookmarkEnd w:id="19"/>
    </w:p>
    <w:p>
      <w:pPr>
        <w:spacing w:line="540" w:lineRule="exact"/>
        <w:ind w:firstLine="627" w:firstLineChars="196"/>
        <w:rPr>
          <w:rFonts w:ascii="仿宋" w:hAnsi="仿宋" w:eastAsia="仿宋"/>
          <w:sz w:val="32"/>
          <w:szCs w:val="32"/>
        </w:rPr>
      </w:pPr>
      <w:r>
        <w:rPr>
          <w:rFonts w:ascii="Times New Roman" w:hAnsi="Times New Roman" w:eastAsia="仿宋_GB2312"/>
          <w:sz w:val="32"/>
          <w:szCs w:val="32"/>
        </w:rPr>
        <w:t>项目改造成本</w:t>
      </w:r>
      <w:r>
        <w:rPr>
          <w:rFonts w:hint="eastAsia" w:ascii="Times New Roman" w:hAnsi="Times New Roman" w:eastAsia="仿宋_GB2312"/>
          <w:sz w:val="32"/>
          <w:szCs w:val="32"/>
        </w:rPr>
        <w:t>约5.6亿</w:t>
      </w:r>
      <w:r>
        <w:rPr>
          <w:rFonts w:ascii="Times New Roman" w:hAnsi="Times New Roman" w:eastAsia="仿宋_GB2312"/>
          <w:sz w:val="32"/>
          <w:szCs w:val="32"/>
        </w:rPr>
        <w:t>元</w:t>
      </w:r>
      <w:bookmarkStart w:id="20" w:name="_Toc7846_WPSOffice_Level2"/>
      <w:bookmarkStart w:id="21" w:name="_Toc23982_WPSOffice_Level2"/>
      <w:bookmarkStart w:id="22" w:name="_Toc6247_WPSOffice_Level2"/>
      <w:bookmarkStart w:id="23" w:name="_Toc23555_WPSOffice_Level2"/>
      <w:bookmarkStart w:id="24" w:name="_Toc8970_WPSOffice_Level2"/>
      <w:r>
        <w:rPr>
          <w:rFonts w:hint="eastAsia" w:ascii="Times New Roman" w:hAnsi="Times New Roman" w:eastAsia="仿宋_GB2312"/>
          <w:sz w:val="32"/>
          <w:szCs w:val="32"/>
        </w:rPr>
        <w:t>，</w:t>
      </w:r>
      <w:r>
        <w:rPr>
          <w:rFonts w:hint="eastAsia" w:ascii="仿宋" w:hAnsi="仿宋" w:eastAsia="仿宋"/>
          <w:sz w:val="32"/>
          <w:szCs w:val="32"/>
        </w:rPr>
        <w:t>由</w:t>
      </w:r>
      <w:r>
        <w:rPr>
          <w:rFonts w:hint="eastAsia" w:ascii="仿宋_GB2312" w:hAnsi="仿宋_GB2312" w:eastAsia="仿宋_GB2312" w:cs="仿宋_GB2312"/>
          <w:sz w:val="32"/>
          <w:szCs w:val="32"/>
        </w:rPr>
        <w:t>广东诺科冷暖设备有限公司</w:t>
      </w:r>
      <w:r>
        <w:rPr>
          <w:rFonts w:hint="eastAsia" w:ascii="仿宋" w:hAnsi="仿宋" w:eastAsia="仿宋"/>
          <w:sz w:val="32"/>
          <w:szCs w:val="32"/>
        </w:rPr>
        <w:t>自筹资金进行改造</w:t>
      </w:r>
      <w:r>
        <w:rPr>
          <w:rFonts w:ascii="仿宋" w:hAnsi="仿宋" w:eastAsia="仿宋"/>
          <w:sz w:val="32"/>
          <w:szCs w:val="32"/>
        </w:rPr>
        <w:t>。</w:t>
      </w:r>
    </w:p>
    <w:p>
      <w:pPr>
        <w:snapToGrid w:val="0"/>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、开发时序</w:t>
      </w:r>
      <w:bookmarkEnd w:id="20"/>
      <w:bookmarkEnd w:id="21"/>
      <w:bookmarkEnd w:id="22"/>
      <w:bookmarkEnd w:id="23"/>
      <w:bookmarkEnd w:id="24"/>
    </w:p>
    <w:p>
      <w:pPr>
        <w:spacing w:line="540" w:lineRule="exact"/>
        <w:ind w:firstLine="627" w:firstLineChars="196"/>
        <w:rPr>
          <w:rFonts w:ascii="仿宋" w:hAnsi="仿宋" w:eastAsia="仿宋"/>
          <w:sz w:val="32"/>
          <w:szCs w:val="32"/>
        </w:rPr>
      </w:pPr>
      <w:r>
        <w:rPr>
          <w:rFonts w:ascii="Times New Roman" w:hAnsi="Times New Roman" w:eastAsia="仿宋_GB2312"/>
          <w:sz w:val="32"/>
          <w:szCs w:val="32"/>
        </w:rPr>
        <w:t>项目开发周期为</w:t>
      </w:r>
      <w:r>
        <w:rPr>
          <w:rFonts w:hint="eastAsia" w:ascii="Times New Roman" w:hAnsi="Times New Roman" w:eastAsia="仿宋_GB2312"/>
          <w:sz w:val="32"/>
          <w:szCs w:val="32"/>
        </w:rPr>
        <w:t>3.5</w:t>
      </w:r>
      <w:r>
        <w:rPr>
          <w:rFonts w:ascii="Times New Roman" w:hAnsi="Times New Roman" w:eastAsia="仿宋_GB2312"/>
          <w:sz w:val="32"/>
          <w:szCs w:val="32"/>
        </w:rPr>
        <w:t>年，</w:t>
      </w:r>
      <w:r>
        <w:rPr>
          <w:rFonts w:hint="eastAsia" w:ascii="仿宋" w:hAnsi="仿宋" w:eastAsia="仿宋"/>
          <w:sz w:val="32"/>
          <w:szCs w:val="32"/>
        </w:rPr>
        <w:t>拟</w:t>
      </w:r>
      <w:r>
        <w:rPr>
          <w:rFonts w:ascii="仿宋" w:hAnsi="仿宋" w:eastAsia="仿宋"/>
          <w:sz w:val="32"/>
          <w:szCs w:val="32"/>
        </w:rPr>
        <w:t>开发时间为</w:t>
      </w:r>
      <w:r>
        <w:rPr>
          <w:rFonts w:hint="eastAsia" w:ascii="仿宋" w:hAnsi="仿宋" w:eastAsia="仿宋"/>
          <w:sz w:val="32"/>
          <w:szCs w:val="32"/>
        </w:rPr>
        <w:t>2021</w:t>
      </w:r>
      <w:r>
        <w:rPr>
          <w:rFonts w:ascii="仿宋" w:hAnsi="仿宋" w:eastAsia="仿宋"/>
          <w:sz w:val="32"/>
          <w:szCs w:val="32"/>
        </w:rPr>
        <w:t>年</w:t>
      </w:r>
      <w:r>
        <w:rPr>
          <w:rFonts w:hint="eastAsia" w:ascii="仿宋" w:hAnsi="仿宋" w:eastAsia="仿宋"/>
          <w:sz w:val="32"/>
          <w:szCs w:val="32"/>
        </w:rPr>
        <w:t>11</w:t>
      </w:r>
      <w:r>
        <w:rPr>
          <w:rFonts w:ascii="仿宋" w:hAnsi="仿宋" w:eastAsia="仿宋"/>
          <w:sz w:val="32"/>
          <w:szCs w:val="32"/>
        </w:rPr>
        <w:t>月至</w:t>
      </w:r>
      <w:r>
        <w:rPr>
          <w:rFonts w:hint="eastAsia" w:ascii="仿宋" w:hAnsi="仿宋" w:eastAsia="仿宋"/>
          <w:sz w:val="32"/>
          <w:szCs w:val="32"/>
        </w:rPr>
        <w:t>2025</w:t>
      </w:r>
      <w:r>
        <w:rPr>
          <w:rFonts w:ascii="仿宋" w:hAnsi="仿宋" w:eastAsia="仿宋"/>
          <w:sz w:val="32"/>
          <w:szCs w:val="32"/>
        </w:rPr>
        <w:t>年</w:t>
      </w:r>
      <w:r>
        <w:rPr>
          <w:rFonts w:hint="eastAsia" w:ascii="仿宋" w:hAnsi="仿宋" w:eastAsia="仿宋"/>
          <w:sz w:val="32"/>
          <w:szCs w:val="32"/>
        </w:rPr>
        <w:t>05</w:t>
      </w:r>
      <w:r>
        <w:rPr>
          <w:rFonts w:ascii="仿宋" w:hAnsi="仿宋" w:eastAsia="仿宋"/>
          <w:sz w:val="32"/>
          <w:szCs w:val="32"/>
        </w:rPr>
        <w:t>月，开发用地面积</w:t>
      </w:r>
      <w:r>
        <w:rPr>
          <w:rFonts w:hint="eastAsia" w:ascii="仿宋" w:hAnsi="仿宋" w:eastAsia="仿宋"/>
          <w:sz w:val="32"/>
          <w:szCs w:val="32"/>
        </w:rPr>
        <w:t>22846.61平方米</w:t>
      </w:r>
      <w:r>
        <w:rPr>
          <w:rFonts w:ascii="仿宋" w:hAnsi="仿宋" w:eastAsia="仿宋"/>
          <w:sz w:val="32"/>
          <w:szCs w:val="32"/>
        </w:rPr>
        <w:t>，主</w:t>
      </w:r>
      <w:r>
        <w:rPr>
          <w:rFonts w:hint="eastAsia" w:ascii="仿宋" w:hAnsi="仿宋" w:eastAsia="仿宋"/>
          <w:sz w:val="32"/>
          <w:szCs w:val="32"/>
        </w:rPr>
        <w:t>要实施商品住宅、公益性设施等建设，其中公益性设施用地</w:t>
      </w:r>
      <w:r>
        <w:rPr>
          <w:rFonts w:hint="eastAsia" w:ascii="仿宋_GB2312" w:hAnsi="仿宋_GB2312" w:eastAsia="仿宋_GB2312" w:cs="仿宋_GB2312"/>
          <w:sz w:val="32"/>
          <w:szCs w:val="32"/>
        </w:rPr>
        <w:t>2686.21平方米</w:t>
      </w:r>
      <w:r>
        <w:rPr>
          <w:rFonts w:hint="eastAsia" w:ascii="仿宋" w:hAnsi="仿宋" w:eastAsia="仿宋"/>
          <w:sz w:val="32"/>
          <w:szCs w:val="32"/>
        </w:rPr>
        <w:t>（</w:t>
      </w:r>
      <w:r>
        <w:rPr>
          <w:rFonts w:hint="eastAsia" w:ascii="仿宋_GB2312" w:hAnsi="仿宋_GB2312" w:eastAsia="仿宋_GB2312" w:cs="仿宋_GB2312"/>
          <w:sz w:val="32"/>
          <w:szCs w:val="32"/>
        </w:rPr>
        <w:t>防护绿地面积2378.53平方米、城市道路用地面积307.68平方米</w:t>
      </w:r>
      <w:r>
        <w:rPr>
          <w:rFonts w:hint="eastAsia" w:ascii="仿宋" w:hAnsi="仿宋" w:eastAsia="仿宋"/>
          <w:sz w:val="32"/>
          <w:szCs w:val="32"/>
        </w:rPr>
        <w:t>），占项目总用地面积的</w:t>
      </w:r>
      <w:r>
        <w:rPr>
          <w:rFonts w:hint="eastAsia" w:ascii="仿宋_GB2312" w:hAnsi="仿宋_GB2312" w:eastAsia="仿宋_GB2312" w:cs="仿宋_GB2312"/>
          <w:sz w:val="32"/>
          <w:szCs w:val="32"/>
        </w:rPr>
        <w:t>12.64 %</w:t>
      </w:r>
      <w:r>
        <w:rPr>
          <w:rFonts w:hint="eastAsia" w:ascii="仿宋" w:hAnsi="仿宋" w:eastAsia="仿宋"/>
          <w:sz w:val="32"/>
          <w:szCs w:val="32"/>
        </w:rPr>
        <w:t>，建设完成后无偿移交政府作为公益性用地。</w:t>
      </w:r>
    </w:p>
    <w:p>
      <w:pPr>
        <w:snapToGrid w:val="0"/>
        <w:spacing w:line="540" w:lineRule="exact"/>
        <w:ind w:firstLine="640" w:firstLineChars="200"/>
        <w:rPr>
          <w:rFonts w:ascii="Times New Roman" w:hAnsi="Times New Roman" w:eastAsia="黑体"/>
          <w:sz w:val="32"/>
          <w:szCs w:val="32"/>
        </w:rPr>
      </w:pPr>
      <w:bookmarkStart w:id="25" w:name="_Toc7098_WPSOffice_Level2"/>
      <w:bookmarkStart w:id="26" w:name="_Toc18018_WPSOffice_Level2"/>
      <w:bookmarkStart w:id="27" w:name="_Toc7803_WPSOffice_Level2"/>
      <w:bookmarkStart w:id="28" w:name="_Toc23214_WPSOffice_Level2"/>
      <w:bookmarkStart w:id="29" w:name="_Toc15766_WPSOffice_Level2"/>
      <w:r>
        <w:rPr>
          <w:rFonts w:hint="eastAsia" w:ascii="Times New Roman" w:hAnsi="Times New Roman" w:eastAsia="黑体"/>
          <w:sz w:val="32"/>
          <w:szCs w:val="32"/>
        </w:rPr>
        <w:t>六</w:t>
      </w:r>
      <w:r>
        <w:rPr>
          <w:rFonts w:ascii="Times New Roman" w:hAnsi="Times New Roman" w:eastAsia="黑体"/>
          <w:sz w:val="32"/>
          <w:szCs w:val="32"/>
        </w:rPr>
        <w:t>、实施监管</w:t>
      </w:r>
      <w:bookmarkEnd w:id="25"/>
      <w:bookmarkEnd w:id="26"/>
      <w:bookmarkEnd w:id="27"/>
      <w:bookmarkEnd w:id="28"/>
      <w:bookmarkEnd w:id="29"/>
    </w:p>
    <w:p>
      <w:pPr>
        <w:spacing w:line="540" w:lineRule="exact"/>
        <w:ind w:firstLine="640" w:firstLineChars="200"/>
        <w:rPr>
          <w:rFonts w:ascii="仿宋" w:hAnsi="仿宋" w:eastAsia="仿宋"/>
          <w:sz w:val="32"/>
          <w:szCs w:val="32"/>
        </w:rPr>
      </w:pPr>
      <w:r>
        <w:rPr>
          <w:rFonts w:ascii="仿宋" w:hAnsi="仿宋" w:eastAsia="仿宋"/>
          <w:sz w:val="32"/>
          <w:szCs w:val="32"/>
        </w:rPr>
        <w:t>在改造方案正式获批之日起的3个月内，</w:t>
      </w:r>
      <w:r>
        <w:rPr>
          <w:rFonts w:hint="eastAsia" w:ascii="仿宋_GB2312" w:hAnsi="仿宋_GB2312" w:eastAsia="仿宋_GB2312" w:cs="仿宋_GB2312"/>
          <w:sz w:val="32"/>
          <w:szCs w:val="32"/>
        </w:rPr>
        <w:t>广东诺科冷暖设备有限公司</w:t>
      </w:r>
      <w:r>
        <w:rPr>
          <w:rFonts w:hint="eastAsia" w:ascii="仿宋" w:hAnsi="仿宋" w:eastAsia="仿宋"/>
          <w:sz w:val="32"/>
          <w:szCs w:val="32"/>
        </w:rPr>
        <w:t>须</w:t>
      </w:r>
      <w:r>
        <w:rPr>
          <w:rFonts w:ascii="仿宋" w:hAnsi="仿宋" w:eastAsia="仿宋"/>
          <w:sz w:val="32"/>
          <w:szCs w:val="32"/>
        </w:rPr>
        <w:t>与</w:t>
      </w:r>
      <w:r>
        <w:rPr>
          <w:rFonts w:hint="eastAsia" w:ascii="仿宋" w:hAnsi="仿宋" w:eastAsia="仿宋"/>
          <w:sz w:val="32"/>
          <w:szCs w:val="32"/>
        </w:rPr>
        <w:t>麻章</w:t>
      </w:r>
      <w:r>
        <w:rPr>
          <w:rFonts w:ascii="仿宋" w:hAnsi="仿宋" w:eastAsia="仿宋"/>
          <w:sz w:val="32"/>
          <w:szCs w:val="32"/>
        </w:rPr>
        <w:t>区人民政府签订项目监管协议，并作为土地出让合同附件。</w:t>
      </w:r>
      <w:r>
        <w:rPr>
          <w:rFonts w:hint="eastAsia" w:ascii="仿宋_GB2312" w:hAnsi="仿宋_GB2312" w:eastAsia="仿宋_GB2312" w:cs="仿宋_GB2312"/>
          <w:sz w:val="32"/>
          <w:szCs w:val="32"/>
        </w:rPr>
        <w:t>广东诺科冷暖设备有限公司</w:t>
      </w:r>
      <w:r>
        <w:rPr>
          <w:rFonts w:hint="eastAsia" w:ascii="仿宋" w:hAnsi="仿宋" w:eastAsia="仿宋"/>
          <w:sz w:val="32"/>
          <w:szCs w:val="32"/>
        </w:rPr>
        <w:t>须</w:t>
      </w:r>
      <w:r>
        <w:rPr>
          <w:rFonts w:ascii="仿宋" w:hAnsi="仿宋" w:eastAsia="仿宋"/>
          <w:sz w:val="32"/>
          <w:szCs w:val="32"/>
        </w:rPr>
        <w:t>按照</w:t>
      </w:r>
      <w:r>
        <w:rPr>
          <w:rFonts w:hint="eastAsia" w:ascii="仿宋" w:hAnsi="仿宋" w:eastAsia="仿宋"/>
          <w:sz w:val="32"/>
          <w:szCs w:val="32"/>
        </w:rPr>
        <w:t>已</w:t>
      </w:r>
      <w:r>
        <w:rPr>
          <w:rFonts w:ascii="仿宋" w:hAnsi="仿宋" w:eastAsia="仿宋"/>
          <w:sz w:val="32"/>
          <w:szCs w:val="32"/>
        </w:rPr>
        <w:t>批准的改造方案及相关规划要求实施改造，无偿移交公益性用地，履行改造范围内配套建设义务，实现改造项目的综合效益等。</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湛府规〔2019〕9号文“工改商项目，原土地权利人自行改造的，除应当按规定补缴地价款及相关税费外，应当按照城乡规划要求，将不低于该项目工业用地总面积15%的土地（含红线退缩用地，下同）无偿移交政府用于城市基础设施、公共服务设施建设或者其他公益性项目建设”规定，该项目工业用地总面积为21258.01平方米（地块一和地块二），应移交15%的土地面积为3188.7平方米。广东诺科冷暖设备有限公司承诺按照已下达用地规划条件，将防护绿地面积(2378.53平方米)和城市道路用地面积（307.68平方米）合计为2686.21平方米（占工业用地面积的12.64 %）的土地无偿移交政府；尚欠2.36%的土地（502.5平方米）按公益性用地用途评估后，向自然资源管理部门补缴与应移交用地等价的土地价款。广东诺科冷暖设备有限公司于2021年6月22日与市城市管理和综合执法局签订了上述防护绿地2378.53平方米、城市道路用地307.68平方米的《监管协议书》，该《监管协议书》作为土地出让合同附件同时使用。</w:t>
      </w:r>
    </w:p>
    <w:p>
      <w:pPr>
        <w:spacing w:line="540" w:lineRule="exact"/>
        <w:ind w:firstLine="640" w:firstLineChars="200"/>
        <w:rPr>
          <w:rFonts w:ascii="仿宋_GB2312" w:hAnsi="仿宋_GB2312" w:eastAsia="仿宋_GB2312" w:cs="仿宋_GB2312"/>
          <w:sz w:val="32"/>
          <w:szCs w:val="32"/>
        </w:rPr>
      </w:pP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11E14"/>
    <w:rsid w:val="2C111E14"/>
    <w:rsid w:val="5B10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2021-11-03T08:53:00Z</dcterms:created>
  <dc:creator>。</dc:creator>
  <cp:lastModifiedBy>。</cp:lastModifiedBy>
  <dcterms:modified xsi:type="dcterms:W3CDTF">2021-11-03T09:12:59Z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